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923"/>
        </w:tabs>
        <w:spacing w:after="240" w:line="360" w:lineRule="auto"/>
        <w:ind w:right="9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</w:t>
      </w:r>
    </w:p>
    <w:p w:rsidR="00000000" w:rsidDel="00000000" w:rsidP="00000000" w:rsidRDefault="00000000" w:rsidRPr="00000000" w14:paraId="00000004">
      <w:pPr>
        <w:widowControl w:val="0"/>
        <w:spacing w:after="240" w:lineRule="auto"/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DIREITO ADMINISTRATIVO. PROCESSO ADMINISTRATIVO.  PRINCÍPIO DA LEGALIDADE. EXAME DA POSSIBILIDADE LEGAL DE CONTRATAÇÃO DIRETA. DISPENSA DE LICITAÇÃO COM FUNDAMENTO NO ARTIGO 75, INCISO II, DA LEI Nº 14.133/2021.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CONSULENTE: Comissão de Contratação / Agente de Contratação, Câmara Municipal de Vereadores de </w:t>
      </w:r>
      <w:r w:rsidDel="00000000" w:rsidR="00000000" w:rsidRPr="00000000">
        <w:rPr>
          <w:sz w:val="24"/>
          <w:szCs w:val="24"/>
          <w:rtl w:val="0"/>
        </w:rPr>
        <w:t xml:space="preserve">Sertânia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Estado de Pernambuco.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Trata-se de Parecer Jurídico sobre possível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DISPENSA DE LICITAÇÃO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Art. 75, inciso II, Lei Federal nº 14.133/2021, objetivando 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Constam dos autos, que transcorrem na forma de processo físico, que foram instruídos com Justificativa, Termo de Referência, minuta de contrato que serão analisados juridicamente por esta Assessoria. </w:t>
      </w:r>
    </w:p>
    <w:p w:rsidR="00000000" w:rsidDel="00000000" w:rsidP="00000000" w:rsidRDefault="00000000" w:rsidRPr="00000000" w14:paraId="00000008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 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14/2025.</w:t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Dispensa de Licitação Nº 10/2025.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FEDERAL Nº 14.133/21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presente parecer jurídico visa atender o requisito legal disposto no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inciso II do §1º artigo 53 da Lei nº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14.133/2021</w:t>
      </w:r>
      <w:r w:rsidDel="00000000" w:rsidR="00000000" w:rsidRPr="00000000">
        <w:rPr>
          <w:sz w:val="24"/>
          <w:szCs w:val="24"/>
          <w:rtl w:val="0"/>
        </w:rPr>
        <w:t xml:space="preserve">, sendo um parecer prévio onde se analisa se os procedimentos legais internos do processo administrativo estão sendo obedecidos pelos responsáveis pelo trâmite da Dispensa de Licitação.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Lembra-se que aqui se trata de análise jurídica ficando a cargo do Gestor da Casa a análise de conveniência e oportunidade sobre a celebração de futuro contrato administrativo.</w:t>
      </w:r>
    </w:p>
    <w:p w:rsidR="00000000" w:rsidDel="00000000" w:rsidP="00000000" w:rsidRDefault="00000000" w:rsidRPr="00000000" w14:paraId="0000000F">
      <w:pPr>
        <w:widowControl w:val="0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 relatório, passo a fundamentar.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right="115" w:firstLine="708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início, cumpre registrar que o exame realizado neste parecer se restringe aos aspectos jurídicos acerca da possibilidade ou não de se contratar por Dispensa de licitação, estando excluídos quaisquer pontos de caráter técnico, econômico e/ou discricionário, cuja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right="11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avaliação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não compete a esta Assessoria Jurídica, e, em especial a análise da </w:t>
      </w:r>
      <w:r w:rsidDel="00000000" w:rsidR="00000000" w:rsidRPr="00000000">
        <w:rPr>
          <w:sz w:val="24"/>
          <w:szCs w:val="24"/>
          <w:rtl w:val="0"/>
        </w:rPr>
        <w:t xml:space="preserve">minuta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Contrato.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importante destacar que a submissão das dispensas de licitações, na Lei 14.133/2021, possui amparo, respectivamente, em seu artigo 53, §1º, inciso I e II c/c o artigo 72, inciso III, que assim dispõem: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53. Ao final da fase preparatória, o processo licitatório seguirá para o órgão de assessoramento jurídico da Administração, que realizará controle prévio de legalidade mediante análise jurídica da contratação.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§1º - Na elaboração do parecer jurídico, o órgão de assessoramento jurídico da Administração deverá: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apreciar o processo licitatório conforme critérios objetivos prévios de atribuição de prioridade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 - redigir sua manifestação em linguagem simples e compreensível e de forma clara e objetiva, com apreciação de todos os elementos indispensáveis à contratação e com exposição dos pressupostos de fato e de direito levados em consideração na análise jurídica.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(...)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72. O processo de contratação direta, que compreende os casos de inexigibilidade e de dispensa de licitação, deverá ser instruído com os seguintes documentos: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parecer jurídico e pareceres técnicos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se for o caso, que demonstrem o atendimento dos requisitos exigidos.(g.n.)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Ressalta-se, como regra a Administração Pública para contratar serviços, ou adquirir produtos, ou produtos e serviços encontra-se obrigada a realizar previamente processo de licitação, conforme previsto no art. 37, inciso XXI da CF/88, como se pode ver da transcrição da redação dos dispositivos ora citados: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2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37 [...]</w:t>
      </w:r>
    </w:p>
    <w:p w:rsidR="00000000" w:rsidDel="00000000" w:rsidP="00000000" w:rsidRDefault="00000000" w:rsidRPr="00000000" w14:paraId="0000001D">
      <w:pPr>
        <w:ind w:left="2267" w:right="11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000000" w:rsidDel="00000000" w:rsidP="00000000" w:rsidRDefault="00000000" w:rsidRPr="00000000" w14:paraId="0000001E">
      <w:pPr>
        <w:ind w:left="3402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8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Essa obrigatoriedade de licitar funda-se em dois aspectos basilares, cujo primeiro é o de estabelecer um tratamento igualitário entre os interessados em contratar, como forma de realização do princípio da impessoalidade, da isonomia e da moralidade; e o segundo revela-se no propósito do poder Público de alcançar a proposta que lhe seja mais vantajosa.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right="109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Licitação é o procedimento administrativo mediante o qual a Administração Pública seleciona proposta mais vantajosa para o contrato de seu interesse. Visa propiciar iguais oportunidades aos que desejam contratar com o Poder Público, dentro dos padrões previamente estabelecidos pela Administração, e atua como fator de eficiência e moralidade nos negócios administrativos.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 exposto, pode-se chegar a uma conclusão fundamental, qual seja, a de que a licitação atende a duas finalidades essenciais. A primeira delas é permitir que o Poder Público possa escolher, dentre as propostas apresentadas, qual é a mais vantajosa para si, isto é, para o interesse público. De outro lado, presta-se a permitir aos cidadãos, em igualdade de condições e sem privilégios, usufruir do seu direito de participar dos contratos que o Poder Público celebra. Com isso, evita-se que os agentes públicos, fazendo mau uso da máquina administrativa, obtenham, para si ou para outrem, vantagem ilícita decorrente da celebração de contratos administrativos, em evidente prejuízo para 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res pública.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 feita, como previsto na norma superior, a realização do certame é a regra, contudo, a própria lei de licitações prevê situações em que é mais vantajoso para a Administração, a formalização da contratação direta, ou seja, sem que haja a necessidade do procedimento licitatório.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conforme previsão do Artigo 75, inciso II, da Lei 14.133/2021 (Nova Lei de Licitações) trouxe em seu texto a possibilidade de realizar dispensa de licitações para contratação que envolva valores até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R$ 62.725,59 (sessenta e dois mil setecentos e vinte e cinco reais e cinquenta e nove centavos)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valor atualizado pelo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b w:val="1"/>
            <w:sz w:val="24"/>
            <w:szCs w:val="24"/>
            <w:u w:val="single"/>
            <w:rtl w:val="0"/>
          </w:rPr>
          <w:t xml:space="preserve">DECRETO Nº 12.343, DE 30 DE DEZEMBRO DE 2024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no caso de outros serviços e compras.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é preponderante caminhar, doravante, na linha da possibilidade de contratação direta dos serviços, desde que, o valor </w:t>
      </w:r>
      <w:r w:rsidDel="00000000" w:rsidR="00000000" w:rsidRPr="00000000">
        <w:rPr>
          <w:sz w:val="24"/>
          <w:szCs w:val="24"/>
          <w:rtl w:val="0"/>
        </w:rPr>
        <w:t xml:space="preserve">despendido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exercício financeiro em curso, para custear a despesa, não seja </w:t>
      </w:r>
      <w:r w:rsidDel="00000000" w:rsidR="00000000" w:rsidRPr="00000000">
        <w:rPr>
          <w:sz w:val="24"/>
          <w:szCs w:val="24"/>
          <w:rtl w:val="0"/>
        </w:rPr>
        <w:t xml:space="preserve">superior ao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limite previsto em lei para dispensa. Por conseguinte, pode-se afirmar que, dentro das regras dos valores estabelecidos pela legislação vigente, não há qualquer óbice quanto à pretensão.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Destaca-se, ainda, que nos autos constam os documentos de formalização de demanda e termo de referência, minuta do contrato e anexos, contendo os elementos necessários e suficientes, com nível de precisão adequado, para caracterizar o objeto requisitado.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Considerando que o valor total está estimado em</w:t>
      </w:r>
      <w:r w:rsidDel="00000000" w:rsidR="00000000" w:rsidRPr="00000000">
        <w:rPr>
          <w:b w:val="1"/>
          <w:sz w:val="24"/>
          <w:szCs w:val="24"/>
          <w:rtl w:val="0"/>
        </w:rPr>
        <w:t xml:space="preserve"> R$43.000,00(quarenta e três mil 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é forçoso concluir pela possibilidade legal de contratação direta, através de dispensa de licitação, uma vez que, o caso em questão, se amolda perfeitamente nos valores previstos no Artigo 75, inciso II, da Lei nº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0"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 fundamentação, passo a concluir.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Assim, observadas as prescrições suscitadas acima, vislumbro de plano a existência de autorização legal para deflagrar o processo para contratação direta dos serviços e neste caso é absolutamente possível a contratação na forma prevista no artigo 75, inciso II, da Lei nº 14.133/2021.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Dessa forma, observadas as prescrições exaradas neste parecer, pela possibilidade de deflagrar o processo para contratação direta dos serviços da Empresa</w:t>
      </w:r>
      <w:r w:rsidDel="00000000" w:rsidR="00000000" w:rsidRPr="00000000">
        <w:rPr>
          <w:b w:val="1"/>
          <w:sz w:val="24"/>
          <w:szCs w:val="24"/>
          <w:rtl w:val="0"/>
        </w:rPr>
        <w:t xml:space="preserve"> CARDMAIS SST - SAUDE E SEGURANCA DO TRABALHO LTDA, </w:t>
      </w:r>
      <w:r w:rsidDel="00000000" w:rsidR="00000000" w:rsidRPr="00000000">
        <w:rPr>
          <w:sz w:val="24"/>
          <w:szCs w:val="24"/>
          <w:rtl w:val="0"/>
        </w:rPr>
        <w:t xml:space="preserve">inscrita no</w:t>
      </w:r>
      <w:r w:rsidDel="00000000" w:rsidR="00000000" w:rsidRPr="00000000">
        <w:rPr>
          <w:b w:val="1"/>
          <w:sz w:val="24"/>
          <w:szCs w:val="24"/>
          <w:rtl w:val="0"/>
        </w:rPr>
        <w:t xml:space="preserve"> CNPJ nº 50.137.937/0001-81</w:t>
      </w:r>
      <w:r w:rsidDel="00000000" w:rsidR="00000000" w:rsidRPr="00000000">
        <w:rPr>
          <w:sz w:val="24"/>
          <w:szCs w:val="24"/>
          <w:rtl w:val="0"/>
        </w:rPr>
        <w:t xml:space="preserve">, pelo prosseguimento do feito, na forma da Lei. 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Esse parecer é meramente opinativo, não vinculando a atuação da Administração Pública.</w:t>
        <w:tab/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spacing w:after="24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Sertânia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07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julho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Carlos Ferreira de Melo</w:t>
      </w:r>
    </w:p>
    <w:p w:rsidR="00000000" w:rsidDel="00000000" w:rsidP="00000000" w:rsidRDefault="00000000" w:rsidRPr="00000000" w14:paraId="00000031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OAB/PE 48.831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135" w:top="1560" w:left="1701" w:right="1133" w:header="426" w:footer="4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ffffff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98050" y="378000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left" w:leader="none" w:pos="360"/>
        <w:tab w:val="left" w:leader="none" w:pos="990"/>
        <w:tab w:val="center" w:leader="none" w:pos="4252"/>
      </w:tabs>
      <w:jc w:val="center"/>
      <w:rPr>
        <w:color w:val="00000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2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4127500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4254500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4254500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u w:val="single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F644D"/>
  </w:style>
  <w:style w:type="paragraph" w:styleId="Rodap">
    <w:name w:val="footer"/>
    <w:basedOn w:val="Normal"/>
    <w:link w:val="Rodap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F644D"/>
  </w:style>
  <w:style w:type="paragraph" w:styleId="Textodebalo">
    <w:name w:val="Balloon Text"/>
    <w:basedOn w:val="Normal"/>
    <w:link w:val="TextodebaloChar"/>
    <w:unhideWhenUsed w:val="1"/>
    <w:rsid w:val="00BF644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rsid w:val="00BF644D"/>
    <w:rPr>
      <w:rFonts w:ascii="Segoe UI" w:cs="Segoe UI" w:hAnsi="Segoe UI"/>
      <w:sz w:val="18"/>
      <w:szCs w:val="18"/>
    </w:rPr>
  </w:style>
  <w:style w:type="paragraph" w:styleId="ecxmsonormal" w:customStyle="1">
    <w:name w:val="ecxmsonormal"/>
    <w:basedOn w:val="Normal"/>
    <w:rsid w:val="00C04F7B"/>
    <w:pPr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uiPriority w:val="22"/>
    <w:qFormat w:val="1"/>
    <w:rsid w:val="00C04F7B"/>
    <w:rPr>
      <w:b w:val="1"/>
      <w:bCs w:val="1"/>
    </w:rPr>
  </w:style>
  <w:style w:type="character" w:styleId="apple-style-span" w:customStyle="1">
    <w:name w:val="apple-style-span"/>
    <w:basedOn w:val="Fontepargpadro"/>
    <w:rsid w:val="00C04F7B"/>
  </w:style>
  <w:style w:type="character" w:styleId="nfaseforte" w:customStyle="1">
    <w:name w:val="Ênfase forte"/>
    <w:rsid w:val="00C04F7B"/>
    <w:rPr>
      <w:b w:val="1"/>
      <w:bCs w:val="1"/>
    </w:rPr>
  </w:style>
  <w:style w:type="character" w:styleId="nfase">
    <w:name w:val="Emphasis"/>
    <w:uiPriority w:val="20"/>
    <w:qFormat w:val="1"/>
    <w:rsid w:val="00C04F7B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C04F7B"/>
    <w:pPr>
      <w:jc w:val="both"/>
    </w:pPr>
    <w:rPr>
      <w:rFonts w:ascii="Arial" w:cs="Arial" w:hAnsi="Arial"/>
      <w:color w:val="000000"/>
    </w:rPr>
  </w:style>
  <w:style w:type="paragraph" w:styleId="PargrafodaLista">
    <w:name w:val="List Paragraph"/>
    <w:basedOn w:val="Normal"/>
    <w:uiPriority w:val="1"/>
    <w:qFormat w:val="1"/>
    <w:rsid w:val="00394A94"/>
    <w:pPr>
      <w:spacing w:after="200" w:line="276" w:lineRule="auto"/>
      <w:ind w:left="720"/>
      <w:contextualSpacing w:val="1"/>
    </w:pPr>
    <w:rPr>
      <w:rFonts w:ascii="Calibri" w:eastAsia="Calibri" w:hAnsi="Calibri"/>
    </w:rPr>
  </w:style>
  <w:style w:type="paragraph" w:styleId="SemEspaamento">
    <w:name w:val="No Spacing"/>
    <w:uiPriority w:val="1"/>
    <w:qFormat w:val="1"/>
    <w:rsid w:val="00AD67B2"/>
    <w:rPr>
      <w:rFonts w:ascii="Calibri" w:eastAsia="Calibri" w:hAnsi="Calibri"/>
    </w:rPr>
  </w:style>
  <w:style w:type="paragraph" w:styleId="indent1" w:customStyle="1">
    <w:name w:val="indent1"/>
    <w:basedOn w:val="Normal"/>
    <w:rsid w:val="00AD67B2"/>
    <w:pPr>
      <w:spacing w:after="100" w:afterAutospacing="1" w:before="100" w:beforeAutospacing="1"/>
    </w:pPr>
    <w:rPr>
      <w:sz w:val="24"/>
      <w:szCs w:val="24"/>
    </w:rPr>
  </w:style>
  <w:style w:type="character" w:styleId="Ttulo1Char" w:customStyle="1">
    <w:name w:val="Título 1 Char"/>
    <w:basedOn w:val="Fontepargpadro"/>
    <w:link w:val="Ttulo1"/>
    <w:rsid w:val="005344A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t-BR"/>
    </w:rPr>
  </w:style>
  <w:style w:type="character" w:styleId="Ttulo2Char" w:customStyle="1">
    <w:name w:val="Título 2 Char"/>
    <w:basedOn w:val="Fontepargpadro"/>
    <w:link w:val="Ttulo2"/>
    <w:semiHidden w:val="1"/>
    <w:rsid w:val="005344AA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  <w:lang w:eastAsia="pt-BR"/>
    </w:rPr>
  </w:style>
  <w:style w:type="character" w:styleId="Ttulo3Char" w:customStyle="1">
    <w:name w:val="Título 3 Char"/>
    <w:basedOn w:val="Fontepargpadro"/>
    <w:link w:val="Ttulo3"/>
    <w:semiHidden w:val="1"/>
    <w:rsid w:val="005344AA"/>
    <w:rPr>
      <w:rFonts w:ascii="Calibri Light" w:cs="Times New Roman" w:eastAsia="Times New Roman" w:hAnsi="Calibri Light"/>
      <w:b w:val="1"/>
      <w:bCs w:val="1"/>
      <w:sz w:val="26"/>
      <w:szCs w:val="26"/>
      <w:lang w:eastAsia="pt-BR"/>
    </w:rPr>
  </w:style>
  <w:style w:type="character" w:styleId="TtuloChar" w:customStyle="1">
    <w:name w:val="Título Char"/>
    <w:basedOn w:val="Fontepargpadro"/>
    <w:link w:val="Ttulo"/>
    <w:rsid w:val="005344AA"/>
    <w:rPr>
      <w:rFonts w:ascii="Times New Roman" w:cs="Times New Roman" w:eastAsia="Times New Roman" w:hAnsi="Times New Roman"/>
      <w:b w:val="1"/>
      <w:szCs w:val="20"/>
      <w:u w:val="single"/>
      <w:lang w:eastAsia="pt-BR"/>
    </w:rPr>
  </w:style>
  <w:style w:type="character" w:styleId="Hyperlink">
    <w:name w:val="Hyperlink"/>
    <w:uiPriority w:val="99"/>
    <w:unhideWhenUsed w:val="1"/>
    <w:rsid w:val="005344AA"/>
    <w:rPr>
      <w:color w:val="0000ff"/>
      <w:u w:val="single"/>
    </w:rPr>
  </w:style>
  <w:style w:type="paragraph" w:styleId="Default" w:customStyle="1">
    <w:name w:val="Default"/>
    <w:rsid w:val="005344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5344AA"/>
    <w:pPr>
      <w:widowControl w:val="0"/>
      <w:autoSpaceDE w:val="0"/>
      <w:autoSpaceDN w:val="0"/>
    </w:pPr>
    <w:rPr>
      <w:rFonts w:ascii="Verdana" w:cs="Verdana" w:eastAsia="Verdana" w:hAnsi="Verdana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5344AA"/>
    <w:rPr>
      <w:rFonts w:ascii="Verdana" w:cs="Verdana" w:eastAsia="Verdana" w:hAnsi="Verdana"/>
      <w:sz w:val="20"/>
      <w:szCs w:val="20"/>
    </w:rPr>
  </w:style>
  <w:style w:type="table" w:styleId="Tabelacomgrade">
    <w:name w:val="Table Grid"/>
    <w:basedOn w:val="Tabelanormal"/>
    <w:uiPriority w:val="39"/>
    <w:rsid w:val="005344AA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">
    <w:name w:val="Unresolved Mention"/>
    <w:uiPriority w:val="99"/>
    <w:semiHidden w:val="1"/>
    <w:unhideWhenUsed w:val="1"/>
    <w:rsid w:val="005344AA"/>
    <w:rPr>
      <w:color w:val="605e5c"/>
      <w:shd w:color="auto" w:fill="e1dfdd" w:val="clear"/>
    </w:rPr>
  </w:style>
  <w:style w:type="character" w:styleId="novotexto" w:customStyle="1">
    <w:name w:val="novo_texto"/>
    <w:rsid w:val="005344A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egislacao.planalto.gov.br/legisla/legislacao.nsf/Viw_Identificacao/DEC%2012.343-2024?OpenDocument" TargetMode="Externa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8Cg6LJDt1ZBf/bk29Pr3LU5Vw==">CgMxLjAyCGguZ2pkZ3hzOAByITFHWVIwSUlDSTRhVWZKMFNQZXZvUVU0OUtvM0ZVQW5Iag==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2024-05-18T10:50:00Z</dcterms:created>
  <dc:creator>MATEUS GOIS</dc:creator>
</cp:coreProperties>
</file>