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CONTRATO Nº</w:t>
      </w:r>
      <w:r w:rsidDel="00000000" w:rsidR="00000000" w:rsidRPr="00000000">
        <w:rPr>
          <w:rFonts w:ascii="Times New Roman" w:cs="Times New Roman" w:eastAsia="Times New Roman" w:hAnsi="Times New Roman"/>
          <w:b w:val="1"/>
          <w:rtl w:val="0"/>
        </w:rPr>
        <w:t xml:space="preserve">15</w:t>
      </w:r>
      <w:r w:rsidDel="00000000" w:rsidR="00000000" w:rsidRPr="00000000">
        <w:rPr>
          <w:rFonts w:ascii="Times New Roman" w:cs="Times New Roman" w:eastAsia="Times New Roman" w:hAnsi="Times New Roman"/>
          <w:b w:val="1"/>
          <w:color w:val="000000"/>
          <w:rtl w:val="0"/>
        </w:rPr>
        <w:t xml:space="preserve">/ 2025</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PROCESSO ADMINISTRATIVO Nº</w:t>
      </w:r>
      <w:r w:rsidDel="00000000" w:rsidR="00000000" w:rsidRPr="00000000">
        <w:rPr>
          <w:rFonts w:ascii="Times New Roman" w:cs="Times New Roman" w:eastAsia="Times New Roman" w:hAnsi="Times New Roman"/>
          <w:b w:val="1"/>
          <w:rtl w:val="0"/>
        </w:rPr>
        <w:t xml:space="preserve">15</w:t>
      </w:r>
      <w:r w:rsidDel="00000000" w:rsidR="00000000" w:rsidRPr="00000000">
        <w:rPr>
          <w:rFonts w:ascii="Times New Roman" w:cs="Times New Roman" w:eastAsia="Times New Roman" w:hAnsi="Times New Roman"/>
          <w:b w:val="1"/>
          <w:color w:val="000000"/>
          <w:rtl w:val="0"/>
        </w:rPr>
        <w:t xml:space="preserve">/2025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INEXIGIBILIDADE Nº</w:t>
      </w:r>
      <w:r w:rsidDel="00000000" w:rsidR="00000000" w:rsidRPr="00000000">
        <w:rPr>
          <w:rFonts w:ascii="Times New Roman" w:cs="Times New Roman" w:eastAsia="Times New Roman" w:hAnsi="Times New Roman"/>
          <w:b w:val="1"/>
          <w:rtl w:val="0"/>
        </w:rPr>
        <w:t xml:space="preserve">05</w:t>
      </w:r>
      <w:r w:rsidDel="00000000" w:rsidR="00000000" w:rsidRPr="00000000">
        <w:rPr>
          <w:rFonts w:ascii="Times New Roman" w:cs="Times New Roman" w:eastAsia="Times New Roman" w:hAnsi="Times New Roman"/>
          <w:b w:val="1"/>
          <w:color w:val="000000"/>
          <w:rtl w:val="0"/>
        </w:rPr>
        <w:t xml:space="preserve">/2025</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3401"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CONTRATO DE PRESTAÇÃO DE SERVIÇOS QUE ENTRE SI CELEBRAM A CÂMARA DE VEREADORES DE SERTÂNIA E </w:t>
      </w:r>
      <w:r w:rsidDel="00000000" w:rsidR="00000000" w:rsidRPr="00000000">
        <w:rPr>
          <w:rFonts w:ascii="Times New Roman" w:cs="Times New Roman" w:eastAsia="Times New Roman" w:hAnsi="Times New Roman"/>
          <w:b w:val="1"/>
          <w:rtl w:val="0"/>
        </w:rPr>
        <w:t xml:space="preserve">JOÃO VALERIANO SOCIEDADE INDIVIDUAL DE ADVOCACIA.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w:t>
      </w:r>
      <w:r w:rsidDel="00000000" w:rsidR="00000000" w:rsidRPr="00000000">
        <w:rPr>
          <w:rFonts w:ascii="Times New Roman" w:cs="Times New Roman" w:eastAsia="Times New Roman" w:hAnsi="Times New Roman"/>
          <w:b w:val="1"/>
          <w:color w:val="000000"/>
          <w:rtl w:val="0"/>
        </w:rPr>
        <w:t xml:space="preserve">CÂMARA MUNICIPAL DE </w:t>
      </w:r>
      <w:r w:rsidDel="00000000" w:rsidR="00000000" w:rsidRPr="00000000">
        <w:rPr>
          <w:rFonts w:ascii="Times New Roman" w:cs="Times New Roman" w:eastAsia="Times New Roman" w:hAnsi="Times New Roman"/>
          <w:b w:val="1"/>
          <w:rtl w:val="0"/>
        </w:rPr>
        <w:t xml:space="preserve">SERTÂNIA</w:t>
      </w:r>
      <w:r w:rsidDel="00000000" w:rsidR="00000000" w:rsidRPr="00000000">
        <w:rPr>
          <w:rFonts w:ascii="Times New Roman" w:cs="Times New Roman" w:eastAsia="Times New Roman" w:hAnsi="Times New Roman"/>
          <w:color w:val="000000"/>
          <w:rtl w:val="0"/>
        </w:rPr>
        <w:t xml:space="preserve">, Estado de Pernambuco, pessoa jurídica de direito público, devidamente inscrita no CNPJ Nº 11.463.247/0001-60, com endereço à </w:t>
      </w:r>
      <w:r w:rsidDel="00000000" w:rsidR="00000000" w:rsidRPr="00000000">
        <w:rPr>
          <w:rFonts w:ascii="Times New Roman" w:cs="Times New Roman" w:eastAsia="Times New Roman" w:hAnsi="Times New Roman"/>
          <w:color w:val="1f1f1f"/>
          <w:highlight w:val="white"/>
          <w:rtl w:val="0"/>
        </w:rPr>
        <w:t xml:space="preserve">Rua Ulisses Lins de Albuquerque, Nº 101</w:t>
      </w:r>
      <w:r w:rsidDel="00000000" w:rsidR="00000000" w:rsidRPr="00000000">
        <w:rPr>
          <w:rFonts w:ascii="Times New Roman" w:cs="Times New Roman" w:eastAsia="Times New Roman" w:hAnsi="Times New Roman"/>
          <w:color w:val="000000"/>
          <w:rtl w:val="0"/>
        </w:rPr>
        <w:t xml:space="preserve">, Bairro Centro, CEP: 56.600-000, Sertânia-PE, doravante denominada </w:t>
      </w:r>
      <w:r w:rsidDel="00000000" w:rsidR="00000000" w:rsidRPr="00000000">
        <w:rPr>
          <w:rFonts w:ascii="Times New Roman" w:cs="Times New Roman" w:eastAsia="Times New Roman" w:hAnsi="Times New Roman"/>
          <w:b w:val="1"/>
          <w:color w:val="000000"/>
          <w:rtl w:val="0"/>
        </w:rPr>
        <w:t xml:space="preserve">CONTRATANTE,</w:t>
      </w:r>
      <w:r w:rsidDel="00000000" w:rsidR="00000000" w:rsidRPr="00000000">
        <w:rPr>
          <w:rFonts w:ascii="Times New Roman" w:cs="Times New Roman" w:eastAsia="Times New Roman" w:hAnsi="Times New Roman"/>
          <w:color w:val="000000"/>
          <w:rtl w:val="0"/>
        </w:rPr>
        <w:t xml:space="preserve"> neste ato contratual representada pelo Presidente, Sr.</w:t>
      </w:r>
      <w:r w:rsidDel="00000000" w:rsidR="00000000" w:rsidRPr="00000000">
        <w:rPr>
          <w:rFonts w:ascii="Times New Roman" w:cs="Times New Roman" w:eastAsia="Times New Roman" w:hAnsi="Times New Roman"/>
          <w:b w:val="1"/>
          <w:color w:val="000000"/>
          <w:rtl w:val="0"/>
        </w:rPr>
        <w:t xml:space="preserve"> Cícero Edvandro de Melo, </w:t>
      </w:r>
      <w:r w:rsidDel="00000000" w:rsidR="00000000" w:rsidRPr="00000000">
        <w:rPr>
          <w:rFonts w:ascii="Times New Roman" w:cs="Times New Roman" w:eastAsia="Times New Roman" w:hAnsi="Times New Roman"/>
          <w:color w:val="000000"/>
          <w:rtl w:val="0"/>
        </w:rPr>
        <w:t xml:space="preserve">brasileiro, </w:t>
      </w:r>
      <w:r w:rsidDel="00000000" w:rsidR="00000000" w:rsidRPr="00000000">
        <w:rPr>
          <w:rFonts w:ascii="Times New Roman" w:cs="Times New Roman" w:eastAsia="Times New Roman" w:hAnsi="Times New Roman"/>
          <w:color w:val="000000"/>
          <w:highlight w:val="white"/>
          <w:rtl w:val="0"/>
        </w:rPr>
        <w:t xml:space="preserve">casado, residente e domiciliado no SÍTIO CAROÁ, Nº 14, Zona Rural, Sertânia– PE; inscrito no CPF/MF sob nº. 034.037.024-64 e RG nº. </w:t>
      </w:r>
      <w:r w:rsidDel="00000000" w:rsidR="00000000" w:rsidRPr="00000000">
        <w:rPr>
          <w:rFonts w:ascii="Times New Roman" w:cs="Times New Roman" w:eastAsia="Times New Roman" w:hAnsi="Times New Roman"/>
          <w:color w:val="000000"/>
          <w:rtl w:val="0"/>
        </w:rPr>
        <w:t xml:space="preserve">5.770.461 SDS-PE e a empresa, </w:t>
      </w:r>
      <w:r w:rsidDel="00000000" w:rsidR="00000000" w:rsidRPr="00000000">
        <w:rPr>
          <w:rFonts w:ascii="Times New Roman" w:cs="Times New Roman" w:eastAsia="Times New Roman" w:hAnsi="Times New Roman"/>
          <w:b w:val="1"/>
          <w:color w:val="000000"/>
          <w:rtl w:val="0"/>
        </w:rPr>
        <w:t xml:space="preserve">JOÃO VALERIANO SOCIEDADE INDIVIDUAL DE ADVOCACIA</w:t>
      </w:r>
      <w:r w:rsidDel="00000000" w:rsidR="00000000" w:rsidRPr="00000000">
        <w:rPr>
          <w:rFonts w:ascii="Times New Roman" w:cs="Times New Roman" w:eastAsia="Times New Roman" w:hAnsi="Times New Roman"/>
          <w:color w:val="000000"/>
          <w:rtl w:val="0"/>
        </w:rPr>
        <w:t xml:space="preserve">, CNPJ nº 32.300.847/0001-88, com sede à Av. Inocêncio Lima nº 192, Centro, CEP:56640-000, Custódia/PE, neste ato representado por João Luiz Lima Valeriano Júnior, solteiro, Advogado OAB/PE nº 25.784, portador do CPF nº 035.864.704-52, do RG nº 7.181.965 SDS-PE, residente e domiciliado em Custódia/PE, doravante simplesmente CONTRATADO, decidiram, com as especificações e caracterizações dos serviços conforme Projeto Básico, do Processo Administrativo 0</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mediante as seguintes cláusulas e condições, consoante Lei Federal nº. 14.133/21 e nas condições a seguir estipuladas: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28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PRIMEIRA – DO OBJETO:</w:t>
      </w:r>
      <w:r w:rsidDel="00000000" w:rsidR="00000000" w:rsidRPr="00000000">
        <w:rPr>
          <w:rtl w:val="0"/>
        </w:rPr>
      </w:r>
    </w:p>
    <w:p w:rsidR="00000000" w:rsidDel="00000000" w:rsidP="00000000" w:rsidRDefault="00000000" w:rsidRPr="00000000" w14:paraId="0000000B">
      <w:pPr>
        <w:spacing w:line="240" w:lineRule="auto"/>
        <w:ind w:hanging="2"/>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1.1. Contratação de serviços técnicos especializados em proteção de dados e adequação, da Câmara Municipal de Sertânia/PE, aos ditames da lei geral de proteção de dados, bem como, a execução de serviços técnicos para desenvolvimento e elaboração do projeto de proteção de dados e sua condução permanente até se tornar um Programa de Proteção de Dados, conforme à Lei Geral de Proteção de Dados (LGPD) - Lei nº 13.709/2018 e demais alterações, conforme especificações descritas neste Projeto Básico.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D">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SEGUNDA - DO PRAZO</w:t>
      </w:r>
      <w:r w:rsidDel="00000000" w:rsidR="00000000" w:rsidRPr="00000000">
        <w:rPr>
          <w:rtl w:val="0"/>
        </w:rPr>
      </w:r>
    </w:p>
    <w:p w:rsidR="00000000" w:rsidDel="00000000" w:rsidP="00000000" w:rsidRDefault="00000000" w:rsidRPr="00000000" w14:paraId="0000000E">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O prazo para a execução do objeto deste acordo é de </w:t>
      </w:r>
      <w:r w:rsidDel="00000000" w:rsidR="00000000" w:rsidRPr="00000000">
        <w:rPr>
          <w:rFonts w:ascii="Times New Roman" w:cs="Times New Roman" w:eastAsia="Times New Roman" w:hAnsi="Times New Roman"/>
          <w:b w:val="1"/>
          <w:rtl w:val="0"/>
        </w:rPr>
        <w:t xml:space="preserve">12 (doze) meses</w:t>
      </w:r>
      <w:r w:rsidDel="00000000" w:rsidR="00000000" w:rsidRPr="00000000">
        <w:rPr>
          <w:rFonts w:ascii="Times New Roman" w:cs="Times New Roman" w:eastAsia="Times New Roman" w:hAnsi="Times New Roman"/>
          <w:rtl w:val="0"/>
        </w:rPr>
        <w:t xml:space="preserve">, contados da data de assinatura do presente instrumento, podendo ser prorrogado por igual ou maior período, mediante aditivo contratual, respeitado o limite de duração consignado na forma do artigo 105 e seguintes da Lei n° 14.133/2021.</w:t>
      </w:r>
    </w:p>
    <w:p w:rsidR="00000000" w:rsidDel="00000000" w:rsidP="00000000" w:rsidRDefault="00000000" w:rsidRPr="00000000" w14:paraId="0000000F">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TERCEIRA – DO PREÇO E DA FORMA DE PAGAMENTO</w:t>
      </w:r>
      <w:r w:rsidDel="00000000" w:rsidR="00000000" w:rsidRPr="00000000">
        <w:rPr>
          <w:rtl w:val="0"/>
        </w:rPr>
      </w:r>
    </w:p>
    <w:p w:rsidR="00000000" w:rsidDel="00000000" w:rsidP="00000000" w:rsidRDefault="00000000" w:rsidRPr="00000000" w14:paraId="00000011">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Como contraprestação à execução do serviço, objeto deste acordo, a Contratante pagará ao Contratado o valor de 12 (doze) parcelas de </w:t>
      </w:r>
      <w:r w:rsidDel="00000000" w:rsidR="00000000" w:rsidRPr="00000000">
        <w:rPr>
          <w:rFonts w:ascii="Times New Roman" w:cs="Times New Roman" w:eastAsia="Times New Roman" w:hAnsi="Times New Roman"/>
          <w:b w:val="1"/>
          <w:rtl w:val="0"/>
        </w:rPr>
        <w:t xml:space="preserve">R$6.000,00 (seis mil reais)</w:t>
      </w:r>
      <w:r w:rsidDel="00000000" w:rsidR="00000000" w:rsidRPr="00000000">
        <w:rPr>
          <w:rFonts w:ascii="Times New Roman" w:cs="Times New Roman" w:eastAsia="Times New Roman" w:hAnsi="Times New Roman"/>
          <w:rtl w:val="0"/>
        </w:rPr>
        <w:t xml:space="preserve">, totalizando um valor global de</w:t>
      </w:r>
      <w:r w:rsidDel="00000000" w:rsidR="00000000" w:rsidRPr="00000000">
        <w:rPr>
          <w:rFonts w:ascii="Times New Roman" w:cs="Times New Roman" w:eastAsia="Times New Roman" w:hAnsi="Times New Roman"/>
          <w:b w:val="1"/>
          <w:rtl w:val="0"/>
        </w:rPr>
        <w:t xml:space="preserve"> R$72.000,00 (setenta e dois mil reais)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O pagamento será efetuado por meio de Ordem Bancária de Crédito, mediante depósito em conta corrente, na agência e estabelecimento bancário indicado pela Contratada, ou PIX, ou por outro meio previsto na legislação vigente.</w:t>
      </w:r>
    </w:p>
    <w:p w:rsidR="00000000" w:rsidDel="00000000" w:rsidP="00000000" w:rsidRDefault="00000000" w:rsidRPr="00000000" w14:paraId="00000013">
      <w:pPr>
        <w:widowControl w:val="0"/>
        <w:numPr>
          <w:ilvl w:val="1"/>
          <w:numId w:val="1"/>
        </w:num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Será considerada data do pagamento o dia em que constar como emitida a ordem bancária para pagamento.</w:t>
      </w:r>
    </w:p>
    <w:p w:rsidR="00000000" w:rsidDel="00000000" w:rsidP="00000000" w:rsidRDefault="00000000" w:rsidRPr="00000000" w14:paraId="00000014">
      <w:pPr>
        <w:widowControl w:val="0"/>
        <w:numPr>
          <w:ilvl w:val="1"/>
          <w:numId w:val="1"/>
        </w:num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pagamento será efetuado no prazo máximo de até 10 (dez) dias consecutivos, contados do recebimento da Nota Fiscal/Fatura no Setor Financeiro da Câmara Municipal de Vereadores.</w:t>
      </w:r>
    </w:p>
    <w:p w:rsidR="00000000" w:rsidDel="00000000" w:rsidP="00000000" w:rsidRDefault="00000000" w:rsidRPr="00000000" w14:paraId="00000015">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QUARTA– DOS RECURSOS FINANCEIROS</w:t>
      </w:r>
      <w:r w:rsidDel="00000000" w:rsidR="00000000" w:rsidRPr="00000000">
        <w:rPr>
          <w:rtl w:val="0"/>
        </w:rPr>
      </w:r>
    </w:p>
    <w:p w:rsidR="00000000" w:rsidDel="00000000" w:rsidP="00000000" w:rsidRDefault="00000000" w:rsidRPr="00000000" w14:paraId="00000017">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4.1Os recursos para realização do objeto do presente contrato são oriundos da seguinte dotação orçamentária para o exercício de 2025 a seguir especificada: </w:t>
      </w:r>
    </w:p>
    <w:p w:rsidR="00000000" w:rsidDel="00000000" w:rsidP="00000000" w:rsidRDefault="00000000" w:rsidRPr="00000000" w14:paraId="0000001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3.3.90.39.00 – Outros Serviços de Terceiros – Pessoa Jurídica.</w:t>
      </w:r>
    </w:p>
    <w:p w:rsidR="00000000" w:rsidDel="00000000" w:rsidP="00000000" w:rsidRDefault="00000000" w:rsidRPr="00000000" w14:paraId="00000019">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QUINTA – REAJUSTE </w:t>
      </w:r>
    </w:p>
    <w:p w:rsidR="00000000" w:rsidDel="00000000" w:rsidP="00000000" w:rsidRDefault="00000000" w:rsidRPr="00000000" w14:paraId="0000001B">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tab/>
        <w:t xml:space="preserve">Os preços inicialmente contratados são fixos e irreajustáveis no prazo de um ano contado da data do orçamento estimado.</w:t>
      </w:r>
    </w:p>
    <w:p w:rsidR="00000000" w:rsidDel="00000000" w:rsidP="00000000" w:rsidRDefault="00000000" w:rsidRPr="00000000" w14:paraId="0000001C">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tab/>
        <w:t xml:space="preserve">Após o interregno de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rsidR="00000000" w:rsidDel="00000000" w:rsidP="00000000" w:rsidRDefault="00000000" w:rsidRPr="00000000" w14:paraId="0000001D">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tab/>
        <w:t xml:space="preserve">Nos reajustes subsequentes ao primeiro, o interregno mínimo de um ano será contado a partir dos efeitos financeiros do último reajuste.</w:t>
      </w:r>
    </w:p>
    <w:p w:rsidR="00000000" w:rsidDel="00000000" w:rsidP="00000000" w:rsidRDefault="00000000" w:rsidRPr="00000000" w14:paraId="0000001E">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tab/>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01F">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tab/>
        <w:t xml:space="preserve">Nas aferições finais, o(s) índice(s) utilizado(s) para reajuste será(ão), obrigatoriamente, o(s) definitivo(s).</w:t>
      </w:r>
    </w:p>
    <w:p w:rsidR="00000000" w:rsidDel="00000000" w:rsidP="00000000" w:rsidRDefault="00000000" w:rsidRPr="00000000" w14:paraId="00000020">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tab/>
        <w:t xml:space="preserve">Caso o(s) índice(s) estabelecido(s) para reajustamento venha(m) a ser extinto(s) ou de qualquer forma não possa(m) mais ser utilizado(s), será(ão) adotado(s), em substituição, o(s) que vier (em) a ser determinado(s) pela legislação então em vigor.</w:t>
      </w:r>
    </w:p>
    <w:p w:rsidR="00000000" w:rsidDel="00000000" w:rsidP="00000000" w:rsidRDefault="00000000" w:rsidRPr="00000000" w14:paraId="00000021">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tab/>
        <w:t xml:space="preserve">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022">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tab/>
        <w:t xml:space="preserve">O reajuste será realizado por apostilamento.</w:t>
      </w:r>
    </w:p>
    <w:p w:rsidR="00000000" w:rsidDel="00000000" w:rsidP="00000000" w:rsidRDefault="00000000" w:rsidRPr="00000000" w14:paraId="00000023">
      <w:pPr>
        <w:spacing w:after="0" w:line="240" w:lineRule="auto"/>
        <w:ind w:hanging="2"/>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SEXTA - DO RECEBIMENTO DO OBJETO CONTRATUAL</w:t>
      </w:r>
      <w:r w:rsidDel="00000000" w:rsidR="00000000" w:rsidRPr="00000000">
        <w:rPr>
          <w:rtl w:val="0"/>
        </w:rPr>
      </w:r>
    </w:p>
    <w:p w:rsidR="00000000" w:rsidDel="00000000" w:rsidP="00000000" w:rsidRDefault="00000000" w:rsidRPr="00000000" w14:paraId="00000025">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A aceitação final dos serviços dependerá de prévia verificação, pela fiscalização do Contratante, de sua plena conformidade com o estipulado neste instrumento.</w:t>
      </w:r>
    </w:p>
    <w:p w:rsidR="00000000" w:rsidDel="00000000" w:rsidP="00000000" w:rsidRDefault="00000000" w:rsidRPr="00000000" w14:paraId="00000026">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SÉTIMA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OBRIGAÇÕES PERTINENTES À LGPD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rsidR="00000000" w:rsidDel="00000000" w:rsidP="00000000" w:rsidRDefault="00000000" w:rsidRPr="00000000" w14:paraId="00000029">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Os dados obtidos somente poderão ser utilizados para as finalidades que justificaram seu acesso e de acordo com a boa-fé e com os princípios do art. 6º da LGPD.  </w:t>
      </w:r>
    </w:p>
    <w:p w:rsidR="00000000" w:rsidDel="00000000" w:rsidP="00000000" w:rsidRDefault="00000000" w:rsidRPr="00000000" w14:paraId="0000002A">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É vedado o compartilhamento com terceiros dos dados obtidos fora das hipóteses permitidas em Lei.</w:t>
      </w:r>
    </w:p>
    <w:p w:rsidR="00000000" w:rsidDel="00000000" w:rsidP="00000000" w:rsidRDefault="00000000" w:rsidRPr="00000000" w14:paraId="0000002B">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1"/>
        <w:keepLines w:val="1"/>
        <w:tabs>
          <w:tab w:val="left" w:leader="none" w:pos="567"/>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OITAVA – MODELOS DE EXECUÇÃO E GESTÃO CONTRATUAIS </w:t>
      </w:r>
    </w:p>
    <w:p w:rsidR="00000000" w:rsidDel="00000000" w:rsidP="00000000" w:rsidRDefault="00000000" w:rsidRPr="00000000" w14:paraId="0000002D">
      <w:pPr>
        <w:keepNext w:val="1"/>
        <w:keepLines w:val="1"/>
        <w:tabs>
          <w:tab w:val="left" w:leader="none" w:pos="567"/>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8.1.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 regime de execução contratual, o modelo de gestão, assim como os prazos e condições de conclusão, observação e recebimento definitivo constam no Projeto Básico, anexo a este Contrato.</w:t>
      </w:r>
      <w:r w:rsidDel="00000000" w:rsidR="00000000" w:rsidRPr="00000000">
        <w:rPr>
          <w:rtl w:val="0"/>
        </w:rPr>
      </w:r>
    </w:p>
    <w:p w:rsidR="00000000" w:rsidDel="00000000" w:rsidP="00000000" w:rsidRDefault="00000000" w:rsidRPr="00000000" w14:paraId="0000002E">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NONA – SUBCONTRATAÇÃO</w:t>
      </w:r>
      <w:r w:rsidDel="00000000" w:rsidR="00000000" w:rsidRPr="00000000">
        <w:rPr>
          <w:rtl w:val="0"/>
        </w:rPr>
      </w:r>
    </w:p>
    <w:p w:rsidR="00000000" w:rsidDel="00000000" w:rsidP="00000000" w:rsidRDefault="00000000" w:rsidRPr="00000000" w14:paraId="00000030">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Não é permitida a subcontratação parcial do objeto, conforme termo Projeto Básico, amparado na Lei 14.133/21.</w:t>
      </w:r>
    </w:p>
    <w:p w:rsidR="00000000" w:rsidDel="00000000" w:rsidP="00000000" w:rsidRDefault="00000000" w:rsidRPr="00000000" w14:paraId="00000031">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 DAS PRERROGATIVAS DO CONTRATANTE</w:t>
      </w:r>
      <w:r w:rsidDel="00000000" w:rsidR="00000000" w:rsidRPr="00000000">
        <w:rPr>
          <w:rtl w:val="0"/>
        </w:rPr>
      </w:r>
    </w:p>
    <w:p w:rsidR="00000000" w:rsidDel="00000000" w:rsidP="00000000" w:rsidRDefault="00000000" w:rsidRPr="00000000" w14:paraId="00000035">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O regime jurídico que rege este acordo confere à Câmara Municipal as prerrogativas constantes dos art. 104 e seguintes da Lei nº 14.133/21, as quais são reconhecidas pela Contratada. Obrigar-se-á:</w:t>
      </w:r>
    </w:p>
    <w:p w:rsidR="00000000" w:rsidDel="00000000" w:rsidP="00000000" w:rsidRDefault="00000000" w:rsidRPr="00000000" w14:paraId="00000036">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Efetuar o pagamento, conforme proposta da licitante e aceita pela Câmara Municipal, nas condições estabelecidas no edital de licitação.</w:t>
      </w:r>
    </w:p>
    <w:p w:rsidR="00000000" w:rsidDel="00000000" w:rsidP="00000000" w:rsidRDefault="00000000" w:rsidRPr="00000000" w14:paraId="00000037">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Notificar por escrito a contratada, fixando-lhe prazo para corrigir irregularidades constantes na prestação dos serviços;</w:t>
      </w:r>
    </w:p>
    <w:p w:rsidR="00000000" w:rsidDel="00000000" w:rsidP="00000000" w:rsidRDefault="00000000" w:rsidRPr="00000000" w14:paraId="0000003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Promover a fiscalização da execução do contrato.</w:t>
      </w:r>
    </w:p>
    <w:p w:rsidR="00000000" w:rsidDel="00000000" w:rsidP="00000000" w:rsidRDefault="00000000" w:rsidRPr="00000000" w14:paraId="00000039">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Prestar todas as informações e fornecer todos os documentos necessários para execução dos serviços contratados;</w:t>
      </w:r>
    </w:p>
    <w:p w:rsidR="00000000" w:rsidDel="00000000" w:rsidP="00000000" w:rsidRDefault="00000000" w:rsidRPr="00000000" w14:paraId="0000003A">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Quando os serviços forem executados na sede da Câmara Municipal, disponibilizar local, equipamentos e infraestrutura para execução das atividades.</w:t>
      </w:r>
    </w:p>
    <w:p w:rsidR="00000000" w:rsidDel="00000000" w:rsidP="00000000" w:rsidRDefault="00000000" w:rsidRPr="00000000" w14:paraId="0000003B">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PRIMEIRA – DAS OBRIGAÇÕES DA CONTRATADA</w:t>
      </w:r>
      <w:r w:rsidDel="00000000" w:rsidR="00000000" w:rsidRPr="00000000">
        <w:rPr>
          <w:rtl w:val="0"/>
        </w:rPr>
      </w:r>
    </w:p>
    <w:p w:rsidR="00000000" w:rsidDel="00000000" w:rsidP="00000000" w:rsidRDefault="00000000" w:rsidRPr="00000000" w14:paraId="0000003D">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Sem prejuízo das obrigações constantes na Lei nº 14.133/21 caberá, ainda, à Contratada:</w:t>
      </w:r>
    </w:p>
    <w:p w:rsidR="00000000" w:rsidDel="00000000" w:rsidP="00000000" w:rsidRDefault="00000000" w:rsidRPr="00000000" w14:paraId="0000003E">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1º - A responsabilidade por encargos trabalhistas, previdenciários, fiscais, comerciais e civis, decorrentes da execução do presente Contrato, nos termos do art. 121 da Lei nº 14.133/21.</w:t>
      </w:r>
    </w:p>
    <w:p w:rsidR="00000000" w:rsidDel="00000000" w:rsidP="00000000" w:rsidRDefault="00000000" w:rsidRPr="00000000" w14:paraId="0000003F">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2º - Obriga-se a Contratada a manter-se, durante toda a execução do presente contrato, em compatibilidade com as obrigações assumidas bem como com todas as condições de presentes na vigência deste instrumento.</w:t>
      </w:r>
    </w:p>
    <w:p w:rsidR="00000000" w:rsidDel="00000000" w:rsidP="00000000" w:rsidRDefault="00000000" w:rsidRPr="00000000" w14:paraId="00000040">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3º - Prestar os serviços rigorosamente de acordo com as especificações constantes neste instrumento contratual e Projeto Básico, obedecidos aos critérios e padrões de qualidade predeterminados.</w:t>
      </w:r>
    </w:p>
    <w:p w:rsidR="00000000" w:rsidDel="00000000" w:rsidP="00000000" w:rsidRDefault="00000000" w:rsidRPr="00000000" w14:paraId="00000041">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SEGUNDA – DA RESCISÃO CONTRATUAL</w:t>
      </w:r>
      <w:r w:rsidDel="00000000" w:rsidR="00000000" w:rsidRPr="00000000">
        <w:rPr>
          <w:rtl w:val="0"/>
        </w:rPr>
      </w:r>
    </w:p>
    <w:p w:rsidR="00000000" w:rsidDel="00000000" w:rsidP="00000000" w:rsidRDefault="00000000" w:rsidRPr="00000000" w14:paraId="00000043">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O presente Contrato poderá ser rescindido nas seguintes condições, sem prejuízo do disposto no art. 137 da Lei nº 14.133/21, com as alterações introduzidas por leis posteriores.</w:t>
      </w:r>
    </w:p>
    <w:p w:rsidR="00000000" w:rsidDel="00000000" w:rsidP="00000000" w:rsidRDefault="00000000" w:rsidRPr="00000000" w14:paraId="00000044">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 Pelo Contratante: Unilateralmente, em caso de inexecução do objeto contratado, bem como variação de interesse.</w:t>
      </w:r>
    </w:p>
    <w:p w:rsidR="00000000" w:rsidDel="00000000" w:rsidP="00000000" w:rsidRDefault="00000000" w:rsidRPr="00000000" w14:paraId="00000045">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 Por ambas as partes: Na ocorrência de caso fortuito ou força maior, regularmente comprovado, tornando absolutamente inviável a execução do Contrato.</w:t>
      </w:r>
    </w:p>
    <w:p w:rsidR="00000000" w:rsidDel="00000000" w:rsidP="00000000" w:rsidRDefault="00000000" w:rsidRPr="00000000" w14:paraId="0000004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TERCEIRA – GARANTIA DE EXECUÇÃO  </w:t>
      </w:r>
    </w:p>
    <w:p w:rsidR="00000000" w:rsidDel="00000000" w:rsidP="00000000" w:rsidRDefault="00000000" w:rsidRPr="00000000" w14:paraId="0000004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Não haverá exigência de garantia contratual da execução.</w:t>
      </w:r>
    </w:p>
    <w:p w:rsidR="00000000" w:rsidDel="00000000" w:rsidP="00000000" w:rsidRDefault="00000000" w:rsidRPr="00000000" w14:paraId="00000049">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QUARTA - DAS PENALIDADES</w:t>
      </w:r>
      <w:r w:rsidDel="00000000" w:rsidR="00000000" w:rsidRPr="00000000">
        <w:rPr>
          <w:rtl w:val="0"/>
        </w:rPr>
      </w:r>
    </w:p>
    <w:p w:rsidR="00000000" w:rsidDel="00000000" w:rsidP="00000000" w:rsidRDefault="00000000" w:rsidRPr="00000000" w14:paraId="0000004B">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A ADMINISTRAÇÃO que deve atuar visando impedir ou minimizar os danos causados pelos licitantes e contratados que descumprem suas obrigações.</w:t>
      </w:r>
    </w:p>
    <w:p w:rsidR="00000000" w:rsidDel="00000000" w:rsidP="00000000" w:rsidRDefault="00000000" w:rsidRPr="00000000" w14:paraId="0000004C">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A CONTRATADA estará sujeita às possíveis sanções administrativas com fundamento no artigo 156 da Lei nº 14.133 de 01 de abril de 2021.</w:t>
      </w:r>
    </w:p>
    <w:p w:rsidR="00000000" w:rsidDel="00000000" w:rsidP="00000000" w:rsidRDefault="00000000" w:rsidRPr="00000000" w14:paraId="0000004D">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tabs>
          <w:tab w:val="left" w:leader="none" w:pos="426"/>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QUINTA – DOS CASOS OMISSOS </w:t>
      </w:r>
    </w:p>
    <w:p w:rsidR="00000000" w:rsidDel="00000000" w:rsidP="00000000" w:rsidRDefault="00000000" w:rsidRPr="00000000" w14:paraId="0000004F">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w:t>
      </w:r>
    </w:p>
    <w:p w:rsidR="00000000" w:rsidDel="00000000" w:rsidP="00000000" w:rsidRDefault="00000000" w:rsidRPr="00000000" w14:paraId="00000050">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tabs>
          <w:tab w:val="left" w:leader="none" w:pos="426"/>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SEXTA – ALTERAÇÕES </w:t>
      </w:r>
    </w:p>
    <w:p w:rsidR="00000000" w:rsidDel="00000000" w:rsidP="00000000" w:rsidRDefault="00000000" w:rsidRPr="00000000" w14:paraId="00000052">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 Eventuais alterações contratuais reger-se-ão pela disciplina dos arts. 124 e seguintes da Lei nº 14.133, de 2021. </w:t>
      </w:r>
    </w:p>
    <w:p w:rsidR="00000000" w:rsidDel="00000000" w:rsidP="00000000" w:rsidRDefault="00000000" w:rsidRPr="00000000" w14:paraId="00000053">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O contratado é obrigado a aceitar, nas mesmas condições contratuais, os acréscimos ou supressões que se fizerem necessários, até o limite de 25% (vinte e cinco por cento) do valor inicial atualizado do contrato. </w:t>
      </w:r>
    </w:p>
    <w:p w:rsidR="00000000" w:rsidDel="00000000" w:rsidP="00000000" w:rsidRDefault="00000000" w:rsidRPr="00000000" w14:paraId="00000054">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 </w:t>
      </w:r>
    </w:p>
    <w:p w:rsidR="00000000" w:rsidDel="00000000" w:rsidP="00000000" w:rsidRDefault="00000000" w:rsidRPr="00000000" w14:paraId="00000055">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 Registros que não caracterizam alteração do contrato podem ser realizados por simples apostila, dispensada a celebração de termo aditivo, na forma do art. 136 da Lei nº 14.133, de 2021. </w:t>
      </w:r>
    </w:p>
    <w:p w:rsidR="00000000" w:rsidDel="00000000" w:rsidP="00000000" w:rsidRDefault="00000000" w:rsidRPr="00000000" w14:paraId="00000056">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tabs>
          <w:tab w:val="left" w:leader="none" w:pos="426"/>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SÉTIMA – PUBLICAÇÃO </w:t>
      </w:r>
    </w:p>
    <w:p w:rsidR="00000000" w:rsidDel="00000000" w:rsidP="00000000" w:rsidRDefault="00000000" w:rsidRPr="00000000" w14:paraId="00000058">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 Incumbirá ao contratante divulgar o presente instrumento no Portal Nacional de Contratações Públicas (PNCP), na forma prevista no art. 94 da Lei 14.133, de 2021, bem como no respectivo sítio oficial na Internet, em atenção ao art. 91, caput, da Lei n.º 14.133, de 2021.</w:t>
      </w:r>
    </w:p>
    <w:p w:rsidR="00000000" w:rsidDel="00000000" w:rsidP="00000000" w:rsidRDefault="00000000" w:rsidRPr="00000000" w14:paraId="00000059">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keepNext w:val="1"/>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OITAVA – DO FORO E DAS DISPOSIÇÕES FINAIS</w:t>
      </w:r>
      <w:r w:rsidDel="00000000" w:rsidR="00000000" w:rsidRPr="00000000">
        <w:rPr>
          <w:rtl w:val="0"/>
        </w:rPr>
      </w:r>
    </w:p>
    <w:p w:rsidR="00000000" w:rsidDel="00000000" w:rsidP="00000000" w:rsidRDefault="00000000" w:rsidRPr="00000000" w14:paraId="0000005B">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 É competente o Foro da Comarca de Sertânia, para dirimir qualquer divergência ou dúvida fundada no presente instrumento, renunciando a qualquer outro por mais privilegiado que seja. E, por estarem, assim, justas e acordadas, firmam o presente em 03(três) vias de igual teor e forma, para um só efeito jurídico e legal, na presença de 02 (duas) testemunhas, que no final também o subscrevem.</w:t>
        <w:tab/>
      </w:r>
    </w:p>
    <w:p w:rsidR="00000000" w:rsidDel="00000000" w:rsidP="00000000" w:rsidRDefault="00000000" w:rsidRPr="00000000" w14:paraId="0000005C">
      <w:pPr>
        <w:tabs>
          <w:tab w:val="left" w:leader="none" w:pos="426"/>
        </w:tabs>
        <w:spacing w:after="0" w:line="240" w:lineRule="auto"/>
        <w:ind w:hanging="2"/>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tabs>
          <w:tab w:val="left" w:leader="none" w:pos="426"/>
        </w:tabs>
        <w:spacing w:after="0" w:line="240" w:lineRule="auto"/>
        <w:ind w:hanging="2"/>
        <w:jc w:val="righ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Sertânia, 01 de agosto de 2025.</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_______________________________________________</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Cícero Edvandro De Melo – Ver. Presidente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CÂMARA DE VEREADORES DE SERTÂNIA</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CNPJ Nº 11.463.247/0001-60</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CONTRATANTE</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_________________________________________________</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JOÃO VALERIANO SOCIEDADE INDIVIDUAL DE ADVOCACIA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CNPJ nº 32.300.847/0001-88</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283"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CONTRATADA</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Testemunhas: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                      _____________________________</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28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CPF/MF:</w:t>
        <w:tab/>
        <w:tab/>
        <w:t xml:space="preserve">                                                 CPF/MF:</w:t>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Souvenir Lt B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360"/>
        <w:tab w:val="left" w:leader="none" w:pos="990"/>
        <w:tab w:val="center" w:leader="none" w:pos="4252"/>
      </w:tabs>
      <w:spacing w:after="0" w:line="240" w:lineRule="auto"/>
      <w:jc w:val="center"/>
      <w:rPr>
        <w:rFonts w:ascii="Times New Roman" w:cs="Times New Roman" w:eastAsia="Times New Roman" w:hAnsi="Times New Roman"/>
        <w:b w:val="1"/>
        <w:color w:val="006600"/>
        <w:sz w:val="36"/>
        <w:szCs w:val="36"/>
      </w:rPr>
    </w:pPr>
    <w:r w:rsidDel="00000000" w:rsidR="00000000" w:rsidRPr="00000000">
      <w:rPr>
        <w:rFonts w:ascii="Times New Roman" w:cs="Times New Roman" w:eastAsia="Times New Roman" w:hAnsi="Times New Roman"/>
        <w:b w:val="1"/>
        <w:color w:val="006600"/>
        <w:sz w:val="36"/>
        <w:szCs w:val="36"/>
      </w:rPr>
      <w:drawing>
        <wp:inline distB="0" distT="0" distL="0" distR="0">
          <wp:extent cx="2653811" cy="1042675"/>
          <wp:effectExtent b="0" l="0" r="0" t="0"/>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3811" cy="10426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u w:val="none"/>
      </w:rPr>
    </w:lvl>
    <w:lvl w:ilvl="1">
      <w:start w:val="3"/>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ind w:hanging="360"/>
    </w:pPr>
    <w:rPr>
      <w:rFonts w:ascii="Times New Roman" w:cs="Times New Roman" w:eastAsia="Times New Roman" w:hAnsi="Times New Roman"/>
      <w:sz w:val="36"/>
      <w:szCs w:val="36"/>
      <w:u w:val="single"/>
    </w:rPr>
  </w:style>
  <w:style w:type="paragraph" w:styleId="Heading2">
    <w:name w:val="heading 2"/>
    <w:basedOn w:val="Normal"/>
    <w:next w:val="Normal"/>
    <w:pPr>
      <w:keepNext w:val="1"/>
      <w:spacing w:after="0" w:line="240" w:lineRule="auto"/>
      <w:ind w:left="360" w:hanging="360"/>
    </w:pPr>
    <w:rPr>
      <w:rFonts w:ascii="Times New Roman" w:cs="Times New Roman" w:eastAsia="Times New Roman" w:hAnsi="Times New Roman"/>
      <w:b w:val="1"/>
      <w:smallCaps w:val="1"/>
      <w:sz w:val="36"/>
      <w:szCs w:val="36"/>
      <w:u w:val="single"/>
    </w:rPr>
  </w:style>
  <w:style w:type="paragraph" w:styleId="Heading3">
    <w:name w:val="heading 3"/>
    <w:basedOn w:val="Normal"/>
    <w:next w:val="Normal"/>
    <w:pPr>
      <w:keepNext w:val="1"/>
      <w:spacing w:after="0" w:line="240" w:lineRule="auto"/>
      <w:ind w:left="720" w:hanging="720"/>
    </w:pPr>
    <w:rPr>
      <w:rFonts w:ascii="Times New Roman" w:cs="Times New Roman" w:eastAsia="Times New Roman" w:hAnsi="Times New Roman"/>
      <w:b w:val="1"/>
      <w:sz w:val="40"/>
      <w:szCs w:val="40"/>
    </w:rPr>
  </w:style>
  <w:style w:type="paragraph" w:styleId="Heading4">
    <w:name w:val="heading 4"/>
    <w:basedOn w:val="Normal"/>
    <w:next w:val="Normal"/>
    <w:pPr>
      <w:keepNext w:val="1"/>
      <w:spacing w:after="0" w:line="240" w:lineRule="auto"/>
      <w:ind w:left="720" w:hanging="720"/>
    </w:pPr>
    <w:rPr>
      <w:rFonts w:ascii="Times New Roman" w:cs="Times New Roman" w:eastAsia="Times New Roman" w:hAnsi="Times New Roman"/>
      <w:b w:val="1"/>
      <w:smallCaps w:val="1"/>
      <w:sz w:val="52"/>
      <w:szCs w:val="52"/>
    </w:rPr>
  </w:style>
  <w:style w:type="paragraph" w:styleId="Heading5">
    <w:name w:val="heading 5"/>
    <w:basedOn w:val="Normal"/>
    <w:next w:val="Normal"/>
    <w:pPr>
      <w:keepNext w:val="1"/>
      <w:spacing w:after="0" w:line="240" w:lineRule="auto"/>
      <w:ind w:left="1080" w:hanging="1080"/>
    </w:pPr>
    <w:rPr>
      <w:rFonts w:ascii="Arial" w:cs="Arial" w:eastAsia="Arial" w:hAnsi="Arial"/>
      <w:sz w:val="24"/>
      <w:szCs w:val="24"/>
    </w:rPr>
  </w:style>
  <w:style w:type="paragraph" w:styleId="Heading6">
    <w:name w:val="heading 6"/>
    <w:basedOn w:val="Normal"/>
    <w:next w:val="Normal"/>
    <w:pPr>
      <w:keepNext w:val="1"/>
      <w:spacing w:after="0" w:line="240" w:lineRule="auto"/>
      <w:ind w:left="1080" w:hanging="1080"/>
    </w:pPr>
    <w:rPr>
      <w:rFonts w:ascii="Souvenir Lt BT" w:cs="Souvenir Lt BT" w:eastAsia="Souvenir Lt BT" w:hAnsi="Souvenir Lt BT"/>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link w:val="Ttulo7Char"/>
    <w:qFormat w:val="1"/>
    <w:rsid w:val="001B3390"/>
    <w:pPr>
      <w:keepNext w:val="1"/>
      <w:numPr>
        <w:ilvl w:val="6"/>
        <w:numId w:val="1"/>
      </w:numPr>
      <w:pBdr>
        <w:top w:color="auto" w:space="1" w:sz="4" w:val="single"/>
      </w:pBdr>
      <w:spacing w:after="0" w:line="240" w:lineRule="auto"/>
      <w:jc w:val="both"/>
      <w:outlineLvl w:val="6"/>
    </w:pPr>
    <w:rPr>
      <w:rFonts w:ascii="Futura Lt BT" w:cs="Times New Roman" w:eastAsia="Times New Roman" w:hAnsi="Futura Lt BT"/>
      <w:b w:val="1"/>
      <w:bCs w:val="1"/>
      <w:color w:val="000000"/>
      <w:sz w:val="20"/>
      <w:szCs w:val="20"/>
      <w:u w:val="single"/>
    </w:rPr>
  </w:style>
  <w:style w:type="paragraph" w:styleId="Ttulo8">
    <w:name w:val="heading 8"/>
    <w:basedOn w:val="Normal"/>
    <w:next w:val="Normal"/>
    <w:link w:val="Ttulo8Char"/>
    <w:qFormat w:val="1"/>
    <w:rsid w:val="001B3390"/>
    <w:pPr>
      <w:keepNext w:val="1"/>
      <w:numPr>
        <w:ilvl w:val="7"/>
        <w:numId w:val="1"/>
      </w:numPr>
      <w:spacing w:after="0" w:line="240" w:lineRule="auto"/>
      <w:outlineLvl w:val="7"/>
    </w:pPr>
    <w:rPr>
      <w:rFonts w:ascii="Arial" w:cs="Times New Roman" w:eastAsia="Times New Roman" w:hAnsi="Arial"/>
      <w:b w:val="1"/>
      <w:bCs w:val="1"/>
      <w:smallCaps w:val="1"/>
      <w:sz w:val="20"/>
      <w:szCs w:val="20"/>
      <w:lang w:eastAsia="x-none" w:val="x-none"/>
    </w:rPr>
  </w:style>
  <w:style w:type="paragraph" w:styleId="Ttulo9">
    <w:name w:val="heading 9"/>
    <w:basedOn w:val="Normal"/>
    <w:next w:val="Normal"/>
    <w:link w:val="Ttulo9Char"/>
    <w:qFormat w:val="1"/>
    <w:rsid w:val="001B3390"/>
    <w:pPr>
      <w:keepNext w:val="1"/>
      <w:numPr>
        <w:ilvl w:val="8"/>
        <w:numId w:val="1"/>
      </w:numPr>
      <w:spacing w:after="60" w:line="360" w:lineRule="auto"/>
      <w:jc w:val="both"/>
      <w:outlineLvl w:val="8"/>
    </w:pPr>
    <w:rPr>
      <w:rFonts w:ascii="Futura Lt BT" w:cs="Times New Roman" w:eastAsia="Times New Roman" w:hAnsi="Futura Lt BT"/>
      <w:b w:val="1"/>
      <w:bCs w:val="1"/>
      <w:color w:val="000000"/>
      <w:sz w:val="18"/>
      <w:szCs w:val="18"/>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EB363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B363E"/>
  </w:style>
  <w:style w:type="paragraph" w:styleId="Rodap">
    <w:name w:val="footer"/>
    <w:basedOn w:val="Normal"/>
    <w:link w:val="RodapChar"/>
    <w:uiPriority w:val="99"/>
    <w:semiHidden w:val="1"/>
    <w:unhideWhenUsed w:val="1"/>
    <w:rsid w:val="00EB363E"/>
    <w:pPr>
      <w:tabs>
        <w:tab w:val="center" w:pos="4252"/>
        <w:tab w:val="right" w:pos="8504"/>
      </w:tabs>
      <w:spacing w:after="0" w:line="240" w:lineRule="auto"/>
    </w:pPr>
  </w:style>
  <w:style w:type="character" w:styleId="RodapChar" w:customStyle="1">
    <w:name w:val="Rodapé Char"/>
    <w:basedOn w:val="Fontepargpadro"/>
    <w:link w:val="Rodap"/>
    <w:uiPriority w:val="99"/>
    <w:semiHidden w:val="1"/>
    <w:rsid w:val="00EB363E"/>
  </w:style>
  <w:style w:type="paragraph" w:styleId="SemEspaamento">
    <w:name w:val="No Spacing"/>
    <w:uiPriority w:val="1"/>
    <w:qFormat w:val="1"/>
    <w:rsid w:val="00EB363E"/>
    <w:pPr>
      <w:spacing w:after="0" w:line="240" w:lineRule="auto"/>
    </w:pPr>
    <w:rPr>
      <w:rFonts w:ascii="Arial" w:cs="Times New Roman" w:eastAsia="Arial" w:hAnsi="Arial"/>
    </w:rPr>
  </w:style>
  <w:style w:type="paragraph" w:styleId="Textodebalo">
    <w:name w:val="Balloon Text"/>
    <w:basedOn w:val="Normal"/>
    <w:link w:val="TextodebaloChar"/>
    <w:uiPriority w:val="99"/>
    <w:semiHidden w:val="1"/>
    <w:unhideWhenUsed w:val="1"/>
    <w:rsid w:val="009F49E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F49E9"/>
    <w:rPr>
      <w:rFonts w:ascii="Tahoma" w:cs="Tahoma" w:hAnsi="Tahoma"/>
      <w:sz w:val="16"/>
      <w:szCs w:val="16"/>
    </w:rPr>
  </w:style>
  <w:style w:type="character" w:styleId="Ttulo1Char" w:customStyle="1">
    <w:name w:val="Título 1 Char"/>
    <w:basedOn w:val="Fontepargpadro"/>
    <w:uiPriority w:val="9"/>
    <w:rsid w:val="001B3390"/>
    <w:rPr>
      <w:rFonts w:ascii="Times New Roman" w:cs="Times New Roman" w:eastAsia="Times New Roman" w:hAnsi="Times New Roman"/>
      <w:sz w:val="36"/>
      <w:szCs w:val="36"/>
      <w:u w:val="single"/>
      <w:lang w:eastAsia="x-none" w:val="x-none"/>
    </w:rPr>
  </w:style>
  <w:style w:type="character" w:styleId="Ttulo2Char" w:customStyle="1">
    <w:name w:val="Título 2 Char"/>
    <w:basedOn w:val="Fontepargpadro"/>
    <w:uiPriority w:val="9"/>
    <w:rsid w:val="001B3390"/>
    <w:rPr>
      <w:rFonts w:ascii="Times New Roman" w:cs="Times New Roman" w:eastAsia="Times New Roman" w:hAnsi="Times New Roman"/>
      <w:b w:val="1"/>
      <w:bCs w:val="1"/>
      <w:smallCaps w:val="1"/>
      <w:sz w:val="36"/>
      <w:szCs w:val="36"/>
      <w:u w:val="single"/>
      <w:lang w:eastAsia="pt-BR"/>
    </w:rPr>
  </w:style>
  <w:style w:type="character" w:styleId="Ttulo3Char" w:customStyle="1">
    <w:name w:val="Título 3 Char"/>
    <w:basedOn w:val="Fontepargpadro"/>
    <w:rsid w:val="001B3390"/>
    <w:rPr>
      <w:rFonts w:ascii="Times New Roman" w:cs="Times New Roman" w:eastAsia="Times New Roman" w:hAnsi="Times New Roman"/>
      <w:b w:val="1"/>
      <w:bCs w:val="1"/>
      <w:sz w:val="40"/>
      <w:szCs w:val="40"/>
      <w:lang w:eastAsia="pt-BR"/>
    </w:rPr>
  </w:style>
  <w:style w:type="character" w:styleId="Ttulo4Char" w:customStyle="1">
    <w:name w:val="Título 4 Char"/>
    <w:basedOn w:val="Fontepargpadro"/>
    <w:rsid w:val="001B3390"/>
    <w:rPr>
      <w:rFonts w:ascii="Times New Roman" w:cs="Times New Roman" w:eastAsia="Times New Roman" w:hAnsi="Times New Roman"/>
      <w:b w:val="1"/>
      <w:bCs w:val="1"/>
      <w:smallCaps w:val="1"/>
      <w:sz w:val="52"/>
      <w:szCs w:val="52"/>
      <w:lang w:eastAsia="pt-BR"/>
    </w:rPr>
  </w:style>
  <w:style w:type="character" w:styleId="Ttulo5Char" w:customStyle="1">
    <w:name w:val="Título 5 Char"/>
    <w:basedOn w:val="Fontepargpadro"/>
    <w:uiPriority w:val="9"/>
    <w:rsid w:val="001B3390"/>
    <w:rPr>
      <w:rFonts w:ascii="Arial" w:cs="Arial" w:eastAsia="Times New Roman" w:hAnsi="Arial"/>
      <w:sz w:val="24"/>
      <w:szCs w:val="24"/>
      <w:lang w:eastAsia="pt-BR" w:val="pt-PT"/>
    </w:rPr>
  </w:style>
  <w:style w:type="character" w:styleId="Ttulo6Char" w:customStyle="1">
    <w:name w:val="Título 6 Char"/>
    <w:basedOn w:val="Fontepargpadro"/>
    <w:rsid w:val="001B3390"/>
    <w:rPr>
      <w:rFonts w:ascii="Souvenir Lt BT" w:cs="Times New Roman" w:eastAsia="Times New Roman" w:hAnsi="Souvenir Lt BT"/>
      <w:sz w:val="24"/>
      <w:szCs w:val="24"/>
      <w:lang w:eastAsia="pt-BR"/>
    </w:rPr>
  </w:style>
  <w:style w:type="character" w:styleId="Ttulo7Char" w:customStyle="1">
    <w:name w:val="Título 7 Char"/>
    <w:basedOn w:val="Fontepargpadro"/>
    <w:link w:val="Ttulo7"/>
    <w:rsid w:val="001B3390"/>
    <w:rPr>
      <w:rFonts w:ascii="Futura Lt BT" w:cs="Times New Roman" w:eastAsia="Times New Roman" w:hAnsi="Futura Lt BT"/>
      <w:b w:val="1"/>
      <w:bCs w:val="1"/>
      <w:color w:val="000000"/>
      <w:sz w:val="20"/>
      <w:szCs w:val="20"/>
      <w:u w:val="single"/>
      <w:lang w:eastAsia="pt-BR"/>
    </w:rPr>
  </w:style>
  <w:style w:type="character" w:styleId="Ttulo8Char" w:customStyle="1">
    <w:name w:val="Título 8 Char"/>
    <w:basedOn w:val="Fontepargpadro"/>
    <w:link w:val="Ttulo8"/>
    <w:rsid w:val="001B3390"/>
    <w:rPr>
      <w:rFonts w:ascii="Arial" w:cs="Times New Roman" w:eastAsia="Times New Roman" w:hAnsi="Arial"/>
      <w:b w:val="1"/>
      <w:bCs w:val="1"/>
      <w:smallCaps w:val="1"/>
      <w:sz w:val="20"/>
      <w:szCs w:val="20"/>
      <w:lang w:eastAsia="x-none" w:val="x-none"/>
    </w:rPr>
  </w:style>
  <w:style w:type="character" w:styleId="Ttulo9Char" w:customStyle="1">
    <w:name w:val="Título 9 Char"/>
    <w:basedOn w:val="Fontepargpadro"/>
    <w:link w:val="Ttulo9"/>
    <w:rsid w:val="001B3390"/>
    <w:rPr>
      <w:rFonts w:ascii="Futura Lt BT" w:cs="Times New Roman" w:eastAsia="Times New Roman" w:hAnsi="Futura Lt BT"/>
      <w:b w:val="1"/>
      <w:bCs w:val="1"/>
      <w:color w:val="000000"/>
      <w:sz w:val="18"/>
      <w:szCs w:val="18"/>
      <w:lang w:eastAsia="pt-BR" w:val="pt-PT"/>
    </w:rPr>
  </w:style>
  <w:style w:type="paragraph" w:styleId="Corpodetexto3">
    <w:name w:val="Body Text 3"/>
    <w:basedOn w:val="Normal"/>
    <w:link w:val="Corpodetexto3Char"/>
    <w:rsid w:val="001B3390"/>
    <w:pPr>
      <w:spacing w:after="0" w:line="240" w:lineRule="auto"/>
      <w:jc w:val="both"/>
    </w:pPr>
    <w:rPr>
      <w:rFonts w:ascii="Bookman Old Style" w:cs="Times New Roman" w:eastAsia="Times New Roman" w:hAnsi="Bookman Old Style"/>
      <w:color w:val="ff0000"/>
      <w:lang w:val="pt-PT"/>
    </w:rPr>
  </w:style>
  <w:style w:type="character" w:styleId="Corpodetexto3Char" w:customStyle="1">
    <w:name w:val="Corpo de texto 3 Char"/>
    <w:basedOn w:val="Fontepargpadro"/>
    <w:link w:val="Corpodetexto3"/>
    <w:rsid w:val="001B3390"/>
    <w:rPr>
      <w:rFonts w:ascii="Bookman Old Style" w:cs="Times New Roman" w:eastAsia="Times New Roman" w:hAnsi="Bookman Old Style"/>
      <w:color w:val="ff0000"/>
      <w:lang w:eastAsia="pt-BR"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hxyEhYq6Ky1jl63a5IYNGkSEw==">CgMxLjAyCGguZ2pkZ3hzOAByITFqZDZIRHhrSkZUYm9tTG9LS0ozZVBPbmZ5dXd2SHZJTw==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2025-03-12T12:13:00Z</dcterms:created>
  <dc:creator>Câmara municipal</dc:creator>
</cp:coreProperties>
</file>