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TERMO DE REFERÊNCIA</w:t>
      </w:r>
    </w:p>
    <w:p w:rsidR="00000000" w:rsidDel="00000000" w:rsidP="00000000" w:rsidRDefault="00000000" w:rsidRPr="00000000" w14:paraId="00000003">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DO OBJETO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5nc7eqetjgqn"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1.1.Constitui objeto do presente Termo de Referência a Contratação de empresa para a prestação de serviços na área de engenharia de segurança do trabalho conforme as obrigatoriedades das legislações trabalhistas e previdenciárias atuais, em conformidade com escopo abaixo, realizando: Elaboração de LTCAT (Laudo Técnico das Condições Ambientais do Trabalho), PGR (Programa de Gerenciamento de Riscos), PCMSO (Programa de Controle Médico de Saúde Ocupacional); envios mensais dos eventos de Saúde e Segurança do Trabalho no eSocial, GRO (gerenciamento de riscos ocupacionais) em conformidade com a NR01, incluindo treinamentos e assessoria de saúde e segurança do trabalho prestada a Câmara Municipal de Vereadores de Sertânia.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 JUSTIFICATIVA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Para contratação: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 A contratação pleiteada é justificada pela obrigatoriedade de atendimento aos ditames do </w:t>
      </w:r>
      <w:r w:rsidDel="00000000" w:rsidR="00000000" w:rsidRPr="00000000">
        <w:rPr>
          <w:rFonts w:ascii="Times New Roman" w:cs="Times New Roman" w:eastAsia="Times New Roman" w:hAnsi="Times New Roman"/>
          <w:rtl w:val="0"/>
        </w:rPr>
        <w:t xml:space="preserve">artigo 7º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inciso XXII da Constituição Federal, do Capítulo V da CLT, </w:t>
      </w:r>
      <w:r w:rsidDel="00000000" w:rsidR="00000000" w:rsidRPr="00000000">
        <w:rPr>
          <w:rFonts w:ascii="Times New Roman" w:cs="Times New Roman" w:eastAsia="Times New Roman" w:hAnsi="Times New Roman"/>
          <w:rtl w:val="0"/>
        </w:rPr>
        <w:t xml:space="preserve">com redação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dada pela Lei nº. 6.514/1977 e as Normas Regulamentadoras- NRs 01, 07, 09, 15 e 16, a saber: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 NR01 descreve a Disposições Gerais e gerenciamento de riscos ocupacionais, que tem como objetivo estabelecer as disposições gerais, o campo de aplicação, os termos e as definições comuns às Normas Regulamentadoras - NR relativas à segurança e saúde no trabalho e as diretrizes e os requisitos para o gerenciamento de riscos ocupacionais e as medidas de prevenção em Segurança e Saúde no Trabalho - SST.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A NR 07 dispõe sobre o PCMSO – Programa de Controle Médico de Saúde Ocupacional - estabelece diretrizes e requisitos para o desenvolvimento do programa nas organizações, com o objetivo de proteger e preserva r a saúde de seus empregados em relação aos riscos ocupacionais, conforme avaliação de riscos do Programa de Gerenciamento de Risco - PGR da organização.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A NR 09, estabelece os requisitos para a avaliação das exposições ocupacionais a agentes físicos, químicos e biológicos quando identificados no Programa de Gerenciamento de Riscos - PGR, previsto na NR-1, e subsidiá-lo quanto às medidas de prevenção para os riscos ocupacionais.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A NR 15, descreve as atividades, operações e agentes insalubres, inclusive seus limites de tolerância, de fine as situações que, vivenciadas nos ambientes de trabalho pelos trabalhadores, demonstrem a caracterização do exercício insalubre e também os meios de os proteger da exposição nociva à saúde.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A NR 16, descreve as atividades e operações perigosas, as quais constam nos anexos da referida norma do MTE– Ministério do Trabalho e Emprego, as segurando ao empregado a percepção de adicional incidente sobre o seu salário base.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O PPP – Perfil Profissiográfico Previdenciário é um documento laboral e individual do empregado, destinado ao levantamento de informações referentes a atividade que exerce, exposição a agentes nocivos, registros ambientais com base no LTCAT, resultado de monitorização biológica com base no PCMSO (NR-7) e PGR (NR-1) e dados administrativos.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2.1.2. Ele serve à empresa como instrumento de informações a serem encaminhadas ao INSS.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LTCAT – Laudo Técnico das Condições do Ambiente de Trabalho, conforme estabelece o Art.58 da Lei n º8 .213, de 24 de julho de 1991, que dispõe sobre os planos de benefício da previdência social, é o documento onde são identificados os agentes físicos, químico s e/ou biológicos aos quais o trabalhador está exposto e que são prejudiciais à saúde ou à integridade física. É instrumento para o fornecimento de in formações ao sistema previdenciário para fins de concessão da aposentadoria especial.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Os exames médicos e complementares consistem em um rol de exames que são solicitados e monitorados pelo médico do trabalho, de acordo com os riscos em que os trabalhadores estão expostos.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2.1.3. A contratação constante do objeto em questão é justificada pela inexistência no quadro funcional desse Conselho de profissionais habilitados para a referida prestação dos serviços.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 Acrescente-se, ainda, que a contratação pretendida nesse Termo implicará em benefícios destinados a garantir e preservar a saúde e integridade dos trabalhadores desta Câmara frente aos riscos dos ambientes de trabalho, bem como o monitoramento da saúde dos trabalhadores através do PCMSO, a fim de prevenir qualquer situação que possa comprometer a saúde dos/as mesmos/as. A identificação dos possíveis riscos e a implantação das devidas medidas de controle possibilitarão para a manutenção da saúde dos (as) funcionários (as), com a prevenção da ocorrência de acidentes de trabalho e de doenças ocupacionais, contribuindo, assim, com a proteção do ambiente organizacional e para qualidade de vida dos (as) funcionários (as).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2.1.5. Finalmente, a contratação pretendida objetiva, ainda, atender as determinações estabelecidas no Decreto 8.373/14, que instituiu o Sistema de Escrituração Digital das Obrigações Fiscais, Providenciarias e Trabalhistas – eSocial, com vistas ao cumprimento da 4ª Fase, a ser implementada a partir de janeiro de 2023, na qual deverão ser enviados os dados de segurança e saúde no trabalho (SST).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3.0.DOS SERVIÇOS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As características e especificações e quantitativo do objeto da referida contratação são: </w:t>
      </w:r>
    </w:p>
    <w:tbl>
      <w:tblPr>
        <w:tblStyle w:val="Table1"/>
        <w:tblW w:w="10632.0" w:type="dxa"/>
        <w:jc w:val="left"/>
        <w:tblInd w:w="-639.0" w:type="dxa"/>
        <w:tblLayout w:type="fixed"/>
        <w:tblLook w:val="0400"/>
      </w:tblPr>
      <w:tblGrid>
        <w:gridCol w:w="728"/>
        <w:gridCol w:w="4154"/>
        <w:gridCol w:w="788"/>
        <w:gridCol w:w="1727"/>
        <w:gridCol w:w="1547"/>
        <w:gridCol w:w="1688"/>
        <w:tblGridChange w:id="0">
          <w:tblGrid>
            <w:gridCol w:w="728"/>
            <w:gridCol w:w="4154"/>
            <w:gridCol w:w="788"/>
            <w:gridCol w:w="1727"/>
            <w:gridCol w:w="1547"/>
            <w:gridCol w:w="1688"/>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jc w:val="both"/>
              <w:rPr>
                <w:rFonts w:ascii="Times New Roman" w:cs="Times New Roman" w:eastAsia="Times New Roman" w:hAnsi="Times New Roman"/>
                <w:color w:val="000000"/>
              </w:rPr>
            </w:pPr>
            <w:bookmarkStart w:colFirst="0" w:colLast="0" w:name="_heading=h.aty9lcyyloce" w:id="1"/>
            <w:bookmarkEnd w:id="1"/>
            <w:r w:rsidDel="00000000" w:rsidR="00000000" w:rsidRPr="00000000">
              <w:rPr>
                <w:rFonts w:ascii="Times New Roman" w:cs="Times New Roman" w:eastAsia="Times New Roman" w:hAnsi="Times New Roman"/>
                <w:color w:val="000000"/>
                <w:rtl w:val="0"/>
              </w:rPr>
              <w:t xml:space="preserve">ITEM</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A">
            <w:pPr>
              <w:ind w:firstLine="709"/>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ESPECIFICAÇÕES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UNID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QUANTIDADE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VL. UNIT.</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VL. TOTAL</w:t>
            </w:r>
          </w:p>
        </w:tc>
      </w:tr>
      <w:tr>
        <w:trPr>
          <w:cantSplit w:val="0"/>
          <w:trHeight w:val="15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Serviços na área de engenharia de  segurança do trabalho conforme as obrigatoriedades das legislações trabalhistas e previdenciárias atuais, em conformidade com escopo abaixo, realizando: Elaboração de LTCAT (Laudo Técnico das Condições Ambientais do Trabalho), PGR (Programa de Gerenciamento de Riscos), PCMSO (Programa de Controle Médico de Saúde Ocupacional); envios mensais dos eventos de Saúde e Segurança do Trabalho no eSocial, GRO (gerenciamento de riscos ocupacionais) em conformidade com a NR01, incluindo treinamentos e assessoria de saúde e segurança do trabalho.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Mês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.1</w:t>
            </w:r>
            <w:r w:rsidDel="00000000" w:rsidR="00000000" w:rsidRPr="00000000">
              <w:rPr>
                <w:rFonts w:ascii="Times New Roman" w:cs="Times New Roman" w:eastAsia="Times New Roman" w:hAnsi="Times New Roman"/>
                <w:rtl w:val="0"/>
              </w:rPr>
              <w:t xml:space="preserve">6</w:t>
            </w:r>
            <w:r w:rsidDel="00000000" w:rsidR="00000000" w:rsidRPr="00000000">
              <w:rPr>
                <w:rFonts w:ascii="Times New Roman" w:cs="Times New Roman" w:eastAsia="Times New Roman" w:hAnsi="Times New Roman"/>
                <w:color w:val="000000"/>
                <w:rtl w:val="0"/>
              </w:rPr>
              <w:t xml:space="preserve">6,66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w:t>
            </w:r>
            <w:r w:rsidDel="00000000" w:rsidR="00000000" w:rsidRPr="00000000">
              <w:rPr>
                <w:rFonts w:ascii="Times New Roman" w:cs="Times New Roman" w:eastAsia="Times New Roman" w:hAnsi="Times New Roman"/>
                <w:rtl w:val="0"/>
              </w:rPr>
              <w:t xml:space="preserve">43</w:t>
            </w:r>
            <w:r w:rsidDel="00000000" w:rsidR="00000000" w:rsidRPr="00000000">
              <w:rPr>
                <w:rFonts w:ascii="Times New Roman" w:cs="Times New Roman" w:eastAsia="Times New Roman" w:hAnsi="Times New Roman"/>
                <w:color w:val="000000"/>
                <w:rtl w:val="0"/>
              </w:rPr>
              <w:t xml:space="preserve">.0</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color w:val="000000"/>
                <w:rtl w:val="0"/>
              </w:rPr>
              <w:t xml:space="preserve">0,00</w:t>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41o8j9cjz61u" w:id="2"/>
      <w:bookmarkEnd w:id="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Valor Global R</w:t>
      </w:r>
      <w:r w:rsidDel="00000000" w:rsidR="00000000" w:rsidRPr="00000000">
        <w:rPr>
          <w:rFonts w:ascii="Times New Roman" w:cs="Times New Roman" w:eastAsia="Times New Roman" w:hAnsi="Times New Roman"/>
          <w:b w:val="1"/>
          <w:rtl w:val="0"/>
        </w:rPr>
        <w:t xml:space="preserve">$43.060,00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rtl w:val="0"/>
        </w:rPr>
        <w:t xml:space="preserve">quarenta e três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mil</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reais), pagas em 06 (seis) parcelas mensais de R</w:t>
      </w:r>
      <w:r w:rsidDel="00000000" w:rsidR="00000000" w:rsidRPr="00000000">
        <w:rPr>
          <w:rFonts w:ascii="Times New Roman" w:cs="Times New Roman" w:eastAsia="Times New Roman" w:hAnsi="Times New Roman"/>
          <w:b w:val="1"/>
          <w:rtl w:val="0"/>
        </w:rPr>
        <w:t xml:space="preserve">$7.166,66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(se</w:t>
      </w:r>
      <w:r w:rsidDel="00000000" w:rsidR="00000000" w:rsidRPr="00000000">
        <w:rPr>
          <w:rFonts w:ascii="Times New Roman" w:cs="Times New Roman" w:eastAsia="Times New Roman" w:hAnsi="Times New Roman"/>
          <w:b w:val="1"/>
          <w:rtl w:val="0"/>
        </w:rPr>
        <w:t xml:space="preserve">te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mil cento e </w:t>
      </w:r>
      <w:r w:rsidDel="00000000" w:rsidR="00000000" w:rsidRPr="00000000">
        <w:rPr>
          <w:rFonts w:ascii="Times New Roman" w:cs="Times New Roman" w:eastAsia="Times New Roman" w:hAnsi="Times New Roman"/>
          <w:b w:val="1"/>
          <w:rtl w:val="0"/>
        </w:rPr>
        <w:t xml:space="preserve">sessenta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 seis reais e sessenta e seis centavos).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valor estimado deste Termo de Referência foi definido com base em cotações registradas no sistema TOME CONTA.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Serão executados os seguintes serviços:</w:t>
      </w:r>
    </w:p>
    <w:p w:rsidR="00000000" w:rsidDel="00000000" w:rsidP="00000000" w:rsidRDefault="00000000" w:rsidRPr="00000000" w14:paraId="0000002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Elaboração do Programa de Gerenciamento de Riscos - PGR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conformidade com a PORTARIA Nº 6.730, de 9 de março de 2020, com vigência obrigatória a partir de 03 de janeiro de 2022, instituído pela PORTARIA Nº 8.873, de 23 de julho de 2021. No caso da ausência de Riscos Químicos, físicos e biológicos poderá ser emitida Declaração de Inexistência de Riscos – DIR.</w:t>
      </w:r>
    </w:p>
    <w:p w:rsidR="00000000" w:rsidDel="00000000" w:rsidP="00000000" w:rsidRDefault="00000000" w:rsidRPr="00000000" w14:paraId="0000002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Elaboração do Programa de Controle Médico e Saúde Ocupacional – PCMSO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conformidade com a PORTARIA Nº 6.734, de 9 de março de 2020, com vigência obrigatória a partir de 03 de janeiro de 2022, instituído pela PORTARIA Nº 8.873, de 23 de julho de 2021.</w:t>
      </w:r>
    </w:p>
    <w:p w:rsidR="00000000" w:rsidDel="00000000" w:rsidP="00000000" w:rsidRDefault="00000000" w:rsidRPr="00000000" w14:paraId="0000002E">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1418" w:right="0" w:hanging="72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Elaboração do Laudo Técnico das Condições Ambientais do Trabalho – LTCAT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conformidade com:</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18" w:right="0" w:firstLine="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LEI Nº 8.213, DE 24 DE JULHO DE 1991</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18" w:right="0" w:firstLine="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DECRETO No 3.048, DE 6 DE MAIO DE 1999.</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18" w:right="0" w:firstLine="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INSTRUÇÃO NORMATIVA Nº 128, DE 28 DE MARÇO DE 2022</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18" w:right="0" w:firstLine="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DECRETO Nº 10.410, DE 30 DE JUNHO DE 2020</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Geração e envio dos eventos de SST no eSocial – eventos, S-2220 (através do fornecimento das informações pela contratante - ASOs dos funcionários) e S-2240,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conformidade com a PORTARIA CONJUNTA SEPRT/RFB/ME Nº 71, DE 29 DE JUNHO DE 2021, atualizada pela PORTARIA CONJUNTA MTP/RFB/ME Nº 2, DE 19 DE ABRIL DE 2022.</w:t>
      </w:r>
    </w:p>
    <w:p w:rsidR="00000000" w:rsidDel="00000000" w:rsidP="00000000" w:rsidRDefault="00000000" w:rsidRPr="00000000" w14:paraId="00000036">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Gerenciamento de Riscos Ocupacionais (GRO)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conformidade com a NR 01 – DISPOSIÇÕES GERAIS E GERENCIAMENTO DE RISCOS OCUPACIONAIS; Portaria SEPRT nº 6.730, de 9 de março de 2020.</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 DO REGIME DE EXECUÇÃO</w:t>
      </w:r>
    </w:p>
    <w:p w:rsidR="00000000" w:rsidDel="00000000" w:rsidP="00000000" w:rsidRDefault="00000000" w:rsidRPr="00000000" w14:paraId="00000038">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s5rc4kv6mler"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Reunião presencial com a empresa para alinhamento das informações e definições de responsáveis para intermediar comunicação, agendamento de visita técnica, bem como os procedimentos e protocolos que a contratante já adota para controle dos riscos ocupacionais aos quais seus trabalhadores estejam expostos, processos e postos de trabalho.</w:t>
      </w:r>
    </w:p>
    <w:p w:rsidR="00000000" w:rsidDel="00000000" w:rsidP="00000000" w:rsidRDefault="00000000" w:rsidRPr="00000000" w14:paraId="00000039">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0" w:right="0" w:firstLine="142"/>
        <w:jc w:val="both"/>
        <w:rPr/>
      </w:pPr>
      <w:bookmarkStart w:colFirst="0" w:colLast="0" w:name="_heading=h.8iljr6q9xgg0"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PGR - Elaborar </w:t>
      </w:r>
      <w:r w:rsidDel="00000000" w:rsidR="00000000" w:rsidRPr="00000000">
        <w:rPr>
          <w:rFonts w:ascii="Times New Roman" w:cs="Times New Roman" w:eastAsia="Times New Roman" w:hAnsi="Times New Roman"/>
          <w:rtl w:val="0"/>
        </w:rPr>
        <w:t xml:space="preserve">inventário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riscos subsidiado pelas avaliações exploratórias e   documentação existente na empresa para direcionamento assertivo na necessidade de avaliações a agentes físicos, químicos e biológicos de acordo com o estabelecido na nova NR9, bem como subsidiar na elaboração do PCMSO, conforme itens: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6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9.4.1 Deve ser realizada análise preliminar das atividades de trabalho e dos dados já disponíveis relativos aos agentes físicos, químicos e biológicos, a fim de determinar a necessidade de adoção direta de medidas de prevenção ou de realização de avaliações qualitativas ou, quando aplicáveis, de avaliações quantitativas.</w:t>
      </w:r>
    </w:p>
    <w:p w:rsidR="00000000" w:rsidDel="00000000" w:rsidP="00000000" w:rsidRDefault="00000000" w:rsidRPr="00000000" w14:paraId="0000003C">
      <w:pPr>
        <w:ind w:left="269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7.5.1 O PCMSO deve ser elaborado considerando os riscos ocupacionais identificados e classificados pelo PGR.</w:t>
      </w:r>
    </w:p>
    <w:p w:rsidR="00000000" w:rsidDel="00000000" w:rsidP="00000000" w:rsidRDefault="00000000" w:rsidRPr="00000000" w14:paraId="0000003D">
      <w:pPr>
        <w:ind w:left="269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1.5.7.3.2 O Inventário de Riscos Ocupacionais deve contemplar, no mínimo, as seguintes informações: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6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caracterização dos processos e ambientes de trabalho;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6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caracterização das atividades;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6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descrição de perigos e de possíveis lesões ou agravos à saúde dos trabalhadores, com a identificação das fontes ou circunstâncias, descrição de riscos gerados pelos perigos, com a indicação dos grupos de trabalhadores sujeitos a esses riscos, e descrição de medidas de prevenção implementadas;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6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dados da análise preliminar ou do monitoramento das exposições a agentes físicos, químicos e biológicos e os resultados da avaliação de ergonomia nos termos da NR-17.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6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avaliação dos riscos, incluindo a classificação para fins de elaboração do plano de ação; 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69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critérios adotados para avaliação dos riscos e tomada de decisão.</w:t>
      </w:r>
    </w:p>
    <w:p w:rsidR="00000000" w:rsidDel="00000000" w:rsidP="00000000" w:rsidRDefault="00000000" w:rsidRPr="00000000" w14:paraId="0000004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propostas deverão contemplar 1 (uma) avaliação quantitativa de ruído e as avaliações qualitativas dos agentes químicos, físicos biológicos, ergonômicos e de acidentes referentes a avaliações preliminares. </w:t>
      </w:r>
    </w:p>
    <w:p w:rsidR="00000000" w:rsidDel="00000000" w:rsidP="00000000" w:rsidRDefault="00000000" w:rsidRPr="00000000" w14:paraId="0000004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PGR - Elaborar plano de ação com respectivo cronograma de ação elaborado por profissional especializado em Segurança e Saúde do Trabalho, conforme item:</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1.5.5.2.1 A organização deve elaborar plano de ação, indicando as medidas de prevenção a serem introduzidas, aprimoradas ou mantidas, conforme o subitem 1.5.4.4.5.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1.5.5.2.2 Para as medidas de prevenção deve ser definido cronograma, formas de acompanhamento e aferição de resultados.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PCMSO - Elaborar Programa de Controle Médico de Saúde Ocupacional em conformidade com a nova NR 7 da PORTARIA Nº 6.734, DE 9 DE MARÇO DE 2020.</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1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7.1.1 Esta Norma Regulamentadora - NR estabelece diretrizes e requisitos para o desenvolvimento do Programa de Controle Médico de Saúde Ocupacional - PCMSO nas organizações, com o objetivo de proteger e preservar a saúde de seus empregados em relação aos riscos ocupacionais, conforme avaliação de riscos do Programa de Gerenciamento de Risco - PGR da organização.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1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7.2.1 Esta Norma se aplica às organizações e aos órgãos públicos da administração direta e indireta, bem como aos órgãos dos poderes legislativo e judiciário e ao Ministério Público, que possuam empregados regidos pela Consolidação das Leis do Trabalho - CLT.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1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 DIRETRIZES 7.3.1 O PCMSO é parte integrante do conjunto mais amplo de iniciativas da organização no campo da saúde de seus empregados, devendo estar harmonizado com o disposto nas demais NR.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1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7.3.2 São diretrizes do PCMSO: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1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rastrear e detectar precocemente os agravos à saúde relacionados ao trabalho;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1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detectar possíveis exposições excessivas a agentes nocivos ocupacionais;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1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definir a aptidão de cada empregado para exercer suas funções ou tarefas determinadas;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1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subsidiar a implantação e o monitoramento da eficácia das medidas de prevenção adotadas na organização;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1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subsidiar análises epidemiológicas e estatísticas sobre os agravos à saúde e sua relação com os riscos ocupacionais;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1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subsidiar decisões sobre o afastamento de empregados de situações de trabalho que possam comprometer sua saúde;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1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subsidiar a emissão de notificações de agravos relacionados ao trabalho, de acordo com a regulamentação pertinente;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1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 subsidiar o encaminhamento de empregados à Previdência Social;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1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acompanhar de forma diferenciada o empregado cujo estado de saúde possa ser especialmente afetado pelos riscos ocupacionais;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1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 subsidiar a Previdência Social nas ações de reabilitação profissional;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1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 subsidiar ações de readaptação profissional;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1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 controlar da imunização ativa dos empregados, relacionada a riscos ocupacionais, sempre que houver recomendação do Ministério da Saúde.</w:t>
      </w:r>
    </w:p>
    <w:p w:rsidR="00000000" w:rsidDel="00000000" w:rsidP="00000000" w:rsidRDefault="00000000" w:rsidRPr="00000000" w14:paraId="0000005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LTCAT – Elaboração de Laudo Técnico das Condições Ambientais do Trabalho conforme determinado pela INSTRUÇÃO NORMATIVA Nº 128, DE 128 DE JANEIRO DE 2015 e demais requisitos legais determinados pelas legislações:</w:t>
      </w:r>
    </w:p>
    <w:p w:rsidR="00000000" w:rsidDel="00000000" w:rsidP="00000000" w:rsidRDefault="00000000" w:rsidRPr="00000000" w14:paraId="0000005C">
      <w:pPr>
        <w:ind w:left="2977" w:firstLine="709.00000000000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261. Fica assegurada a concessão da aposentadoria especial ao segurado que até 13 de novembro de 2019, data da publicação da Emenda Constitucional nº 103, de 2019, tenha cumprido a carência exigida e tenha caracterizado o exercício de atividade em condições especiais que prejudiquem a saúde ou a integridade física, durante o período de 15 (quinze), 20 (vinte) ou 25 (vinte e cinco) anos, conforme o caso, independentemente de idade mínima, podendo haver enquadramento nesta condição:</w:t>
      </w:r>
    </w:p>
    <w:p w:rsidR="00000000" w:rsidDel="00000000" w:rsidP="00000000" w:rsidRDefault="00000000" w:rsidRPr="00000000" w14:paraId="0000005D">
      <w:pPr>
        <w:ind w:left="2977" w:firstLine="709.00000000000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por categoria profissional até 28 de abril de 1995, véspera da publicação da Lei nº 9.032, de 1995; e</w:t>
      </w:r>
    </w:p>
    <w:p w:rsidR="00000000" w:rsidDel="00000000" w:rsidP="00000000" w:rsidRDefault="00000000" w:rsidRPr="00000000" w14:paraId="0000005E">
      <w:pPr>
        <w:ind w:left="2977" w:firstLine="709.00000000000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 por exposição a agentes químicos, físicos, biológicos ou a associação de agentes prejudiciais à saúde ou à integridade física, em qualquer época.</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977" w:right="0" w:firstLine="709.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977" w:right="0" w:firstLine="709.0000000000003"/>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LEI Nº 8.213, DE 24 DE JULHO DE 1991 </w:t>
      </w:r>
    </w:p>
    <w:p w:rsidR="00000000" w:rsidDel="00000000" w:rsidP="00000000" w:rsidRDefault="00000000" w:rsidRPr="00000000" w14:paraId="0000006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977" w:right="0" w:firstLine="709.0000000000003"/>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DECRETO No 3.048, DE 6 DE MAIO DE 1999.</w:t>
      </w:r>
    </w:p>
    <w:p w:rsidR="00000000" w:rsidDel="00000000" w:rsidP="00000000" w:rsidRDefault="00000000" w:rsidRPr="00000000" w14:paraId="0000006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977" w:right="0" w:firstLine="709.0000000000003"/>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DECRETO Nº 10.410, DE 30 DE JUNHO DE 2020</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977" w:right="0" w:firstLine="709.000000000000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977" w:right="0" w:firstLine="709.0000000000003"/>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Documento do LTCAT será confeccionado parametrizado com os códigos das tabelas do eSocial versão S.1.0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Realização do Gerenciamento de Risco Ocupacional, incluindo: </w:t>
      </w:r>
    </w:p>
    <w:tbl>
      <w:tblPr>
        <w:tblStyle w:val="Table2"/>
        <w:tblW w:w="992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3"/>
        <w:gridCol w:w="5811"/>
        <w:gridCol w:w="2429"/>
        <w:tblGridChange w:id="0">
          <w:tblGrid>
            <w:gridCol w:w="1683"/>
            <w:gridCol w:w="5811"/>
            <w:gridCol w:w="2429"/>
          </w:tblGrid>
        </w:tblGridChange>
      </w:tblGrid>
      <w:tr>
        <w:trPr>
          <w:cantSplit w:val="0"/>
          <w:trHeight w:val="488" w:hRule="atLeast"/>
          <w:tblHeader w:val="0"/>
        </w:trPr>
        <w:tc>
          <w:tcPr/>
          <w:p w:rsidR="00000000" w:rsidDel="00000000" w:rsidP="00000000" w:rsidRDefault="00000000" w:rsidRPr="00000000" w14:paraId="0000006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SERVIÇO</w:t>
            </w:r>
          </w:p>
        </w:tc>
        <w:tc>
          <w:tcPr/>
          <w:p w:rsidR="00000000" w:rsidDel="00000000" w:rsidP="00000000" w:rsidRDefault="00000000" w:rsidRPr="00000000" w14:paraId="00000067">
            <w:pPr>
              <w:ind w:firstLine="709"/>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DESCRIÇÃO</w:t>
            </w:r>
          </w:p>
        </w:tc>
        <w:tc>
          <w:tcPr/>
          <w:p w:rsidR="00000000" w:rsidDel="00000000" w:rsidP="00000000" w:rsidRDefault="00000000" w:rsidRPr="00000000" w14:paraId="0000006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PERIOCIDADE</w:t>
            </w:r>
          </w:p>
          <w:p w:rsidR="00000000" w:rsidDel="00000000" w:rsidP="00000000" w:rsidRDefault="00000000" w:rsidRPr="00000000" w14:paraId="00000069">
            <w:pPr>
              <w:ind w:firstLine="709"/>
              <w:jc w:val="both"/>
              <w:rPr>
                <w:rFonts w:ascii="Times New Roman" w:cs="Times New Roman" w:eastAsia="Times New Roman" w:hAnsi="Times New Roman"/>
                <w:b w:val="1"/>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Atualização, e revalidação dos programas de PGR e PCMSO</w:t>
            </w:r>
          </w:p>
        </w:tc>
        <w:tc>
          <w:tcPr>
            <w:vAlign w:val="center"/>
          </w:tcPr>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Atualização/revisão e renovação dos programas de Gerenciamento de Riscos (PGR), e de controle médico de Saúde Ocupacional (PCMSO) sempre que necessário;</w:t>
            </w:r>
          </w:p>
        </w:tc>
        <w:tc>
          <w:tcPr/>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Período de vigência do contrato</w:t>
            </w:r>
          </w:p>
        </w:tc>
      </w:tr>
      <w:tr>
        <w:trPr>
          <w:cantSplit w:val="0"/>
          <w:trHeight w:val="882" w:hRule="atLeast"/>
          <w:tblHeader w:val="0"/>
        </w:trPr>
        <w:tc>
          <w:tcPr/>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Auxilio dos programas PGR e PCMSO</w:t>
            </w:r>
          </w:p>
          <w:p w:rsidR="00000000" w:rsidDel="00000000" w:rsidP="00000000" w:rsidRDefault="00000000" w:rsidRPr="00000000" w14:paraId="0000006E">
            <w:pPr>
              <w:ind w:firstLine="709"/>
              <w:jc w:val="both"/>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Apoio a gestão na implementação dos programas PGR (Programa de Gerenciamento de Risco) e PCMSO (</w:t>
            </w:r>
            <w:r w:rsidDel="00000000" w:rsidR="00000000" w:rsidRPr="00000000">
              <w:rPr>
                <w:rFonts w:ascii="Times New Roman" w:cs="Times New Roman" w:eastAsia="Times New Roman" w:hAnsi="Times New Roman"/>
                <w:highlight w:val="white"/>
                <w:rtl w:val="0"/>
              </w:rPr>
              <w:t xml:space="preserve">Programa de Controle Médico de Saúde Ocupacional);</w:t>
            </w:r>
            <w:r w:rsidDel="00000000" w:rsidR="00000000" w:rsidRPr="00000000">
              <w:rPr>
                <w:rtl w:val="0"/>
              </w:rPr>
            </w:r>
          </w:p>
        </w:tc>
        <w:tc>
          <w:tcPr/>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Período de vigência do contrato</w:t>
            </w:r>
          </w:p>
        </w:tc>
      </w:tr>
      <w:tr>
        <w:trPr>
          <w:cantSplit w:val="0"/>
          <w:trHeight w:val="1032" w:hRule="atLeast"/>
          <w:tblHeader w:val="0"/>
        </w:trPr>
        <w:tc>
          <w:tcPr/>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Treinamentos</w:t>
            </w:r>
          </w:p>
        </w:tc>
        <w:tc>
          <w:tcPr>
            <w:vAlign w:val="center"/>
          </w:tcPr>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Serão realizados todos os treinamentos de segurança do trabalho que se enquadram no serviço legislativo: NR 06, NR 23 e NR 17; Teórico e prático, podendo ser Presencial ou online;</w:t>
            </w:r>
          </w:p>
        </w:tc>
        <w:tc>
          <w:tcPr/>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Sempre que avaliado a necessidade pela equipe Técnica sendo necessário a atualização da equipe</w:t>
            </w:r>
          </w:p>
        </w:tc>
      </w:tr>
      <w:tr>
        <w:trPr>
          <w:cantSplit w:val="0"/>
          <w:trHeight w:val="1102" w:hRule="atLeast"/>
          <w:tblHeader w:val="0"/>
        </w:trPr>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Transmissão e monitoramento mensal dos eventos S2210; S2220; S2240 no eSocial;</w:t>
            </w:r>
          </w:p>
        </w:tc>
        <w:tc>
          <w:tcPr>
            <w:vAlign w:val="center"/>
          </w:tcPr>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Manutenção dos envios mensais dos serviços de SST no eSocial; Orientações sobre os laudos e exames; Envio do evento      S2220 no eSocial (ASO realizado pelo cliente); Monitoramento de vencimento dos exames-relatório único;</w:t>
            </w:r>
          </w:p>
        </w:tc>
        <w:tc>
          <w:tcPr/>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Manutenção e monitoramento mensal;</w:t>
            </w:r>
          </w:p>
        </w:tc>
      </w:tr>
      <w:tr>
        <w:trPr>
          <w:cantSplit w:val="0"/>
          <w:trHeight w:val="882" w:hRule="atLeast"/>
          <w:tblHeader w:val="0"/>
        </w:trPr>
        <w:tc>
          <w:tcPr/>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Relatórios mensais do Serviços </w:t>
            </w:r>
          </w:p>
        </w:tc>
        <w:tc>
          <w:tcPr>
            <w:vAlign w:val="center"/>
          </w:tcPr>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Relatórios descritivos com informações do Serviços Realizados mensalmente para conhecimento da gestão/diretoria.</w:t>
            </w:r>
          </w:p>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Envios mensais.</w:t>
            </w:r>
          </w:p>
        </w:tc>
      </w:tr>
      <w:tr>
        <w:trPr>
          <w:cantSplit w:val="0"/>
          <w:trHeight w:val="440" w:hRule="atLeast"/>
          <w:tblHeader w:val="0"/>
        </w:trPr>
        <w:tc>
          <w:tcPr/>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Visitas Técnicas </w:t>
            </w:r>
          </w:p>
          <w:p w:rsidR="00000000" w:rsidDel="00000000" w:rsidP="00000000" w:rsidRDefault="00000000" w:rsidRPr="00000000" w14:paraId="00000080">
            <w:pPr>
              <w:ind w:firstLine="709"/>
              <w:jc w:val="both"/>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8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São previstas visitas técnicas presenciais trimestrais ou, sempre que necessário; e visitas técnicas de assessoria online sempre que necessário; </w:t>
            </w:r>
          </w:p>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Período de vigência do contrato </w:t>
            </w:r>
          </w:p>
        </w:tc>
      </w:tr>
      <w:tr>
        <w:trPr>
          <w:cantSplit w:val="0"/>
          <w:trHeight w:val="440" w:hRule="atLeast"/>
          <w:tblHeader w:val="0"/>
        </w:trPr>
        <w:tc>
          <w:tcPr/>
          <w:p w:rsidR="00000000" w:rsidDel="00000000" w:rsidP="00000000" w:rsidRDefault="00000000" w:rsidRPr="00000000" w14:paraId="0000008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Assessoria </w:t>
            </w:r>
          </w:p>
        </w:tc>
        <w:tc>
          <w:tcPr>
            <w:vAlign w:val="center"/>
          </w:tcPr>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Assessoria disponível todos os dias em horário comercial, sendo das 8h as 18h de segunda a sexta feira;</w:t>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Sempre que necessário.</w:t>
            </w:r>
          </w:p>
        </w:tc>
      </w:tr>
    </w:tb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3.10. Confecção dos documentos e emissão de ART.</w:t>
      </w:r>
    </w:p>
    <w:p w:rsidR="00000000" w:rsidDel="00000000" w:rsidP="00000000" w:rsidRDefault="00000000" w:rsidRPr="00000000" w14:paraId="0000008E">
      <w:pPr>
        <w:jc w:val="both"/>
        <w:rPr>
          <w:rFonts w:ascii="Times New Roman" w:cs="Times New Roman" w:eastAsia="Times New Roman" w:hAnsi="Times New Roman"/>
        </w:rPr>
      </w:pPr>
      <w:bookmarkStart w:colFirst="0" w:colLast="0" w:name="_heading=h.kfm2gipmnc5u" w:id="5"/>
      <w:bookmarkEnd w:id="5"/>
      <w:r w:rsidDel="00000000" w:rsidR="00000000" w:rsidRPr="00000000">
        <w:rPr>
          <w:rFonts w:ascii="Times New Roman" w:cs="Times New Roman" w:eastAsia="Times New Roman" w:hAnsi="Times New Roman"/>
          <w:rtl w:val="0"/>
        </w:rPr>
        <w:t xml:space="preserve">3.11. Entrega do documento em formato digital assinado eletronicamente de acordo com o DECRETO Nº 10.854, DE 10 DE NOVEMBRO DE 2021:</w:t>
      </w:r>
    </w:p>
    <w:p w:rsidR="00000000" w:rsidDel="00000000" w:rsidP="00000000" w:rsidRDefault="00000000" w:rsidRPr="00000000" w14:paraId="0000008F">
      <w:pPr>
        <w:ind w:left="3119" w:firstLine="0"/>
        <w:jc w:val="both"/>
        <w:rPr>
          <w:rFonts w:ascii="Times New Roman" w:cs="Times New Roman" w:eastAsia="Times New Roman" w:hAnsi="Times New Roman"/>
        </w:rPr>
      </w:pPr>
      <w:bookmarkStart w:colFirst="0" w:colLast="0" w:name="_heading=h.hwx74656148b" w:id="6"/>
      <w:bookmarkEnd w:id="6"/>
      <w:r w:rsidDel="00000000" w:rsidR="00000000" w:rsidRPr="00000000">
        <w:rPr>
          <w:rFonts w:ascii="Times New Roman" w:cs="Times New Roman" w:eastAsia="Times New Roman" w:hAnsi="Times New Roman"/>
          <w:rtl w:val="0"/>
        </w:rPr>
        <w:t xml:space="preserve">Art. 184. Fica autorizado o armazenamento, em meio eletrônico, óptico ou equivalente, de documentos relativos a deveres e obrigações trabalhistas, incluídos aqueles relativos a normas regulamentadoras de saúde e segurança no trabalho, compostos por dados ou por imagens, nos termos do disposto no </w:t>
      </w:r>
      <w:hyperlink r:id="rId9">
        <w:r w:rsidDel="00000000" w:rsidR="00000000" w:rsidRPr="00000000">
          <w:rPr>
            <w:rFonts w:ascii="Times New Roman" w:cs="Times New Roman" w:eastAsia="Times New Roman" w:hAnsi="Times New Roman"/>
            <w:color w:val="0563c1"/>
            <w:u w:val="single"/>
            <w:rtl w:val="0"/>
          </w:rPr>
          <w:t xml:space="preserve">art. 2º-A da Lei nº 12.682, de 9 de julho de 2012</w:t>
        </w:r>
      </w:hyperlink>
      <w:r w:rsidDel="00000000" w:rsidR="00000000" w:rsidRPr="00000000">
        <w:rPr>
          <w:rFonts w:ascii="Times New Roman" w:cs="Times New Roman" w:eastAsia="Times New Roman" w:hAnsi="Times New Roman"/>
          <w:rtl w:val="0"/>
        </w:rPr>
        <w:t xml:space="preserve"> , no </w:t>
      </w:r>
      <w:hyperlink r:id="rId10">
        <w:r w:rsidDel="00000000" w:rsidR="00000000" w:rsidRPr="00000000">
          <w:rPr>
            <w:rFonts w:ascii="Times New Roman" w:cs="Times New Roman" w:eastAsia="Times New Roman" w:hAnsi="Times New Roman"/>
            <w:color w:val="0563c1"/>
            <w:u w:val="single"/>
            <w:rtl w:val="0"/>
          </w:rPr>
          <w:t xml:space="preserve">Decreto nº 10.278, de 18 de março de 2020</w:t>
        </w:r>
      </w:hyperlink>
      <w:r w:rsidDel="00000000" w:rsidR="00000000" w:rsidRPr="00000000">
        <w:rPr>
          <w:rFonts w:ascii="Times New Roman" w:cs="Times New Roman" w:eastAsia="Times New Roman" w:hAnsi="Times New Roman"/>
          <w:rtl w:val="0"/>
        </w:rPr>
        <w:t xml:space="preserve"> , no </w:t>
      </w:r>
      <w:hyperlink r:id="rId11">
        <w:r w:rsidDel="00000000" w:rsidR="00000000" w:rsidRPr="00000000">
          <w:rPr>
            <w:rFonts w:ascii="Times New Roman" w:cs="Times New Roman" w:eastAsia="Times New Roman" w:hAnsi="Times New Roman"/>
            <w:color w:val="0563c1"/>
            <w:u w:val="single"/>
            <w:rtl w:val="0"/>
          </w:rPr>
          <w:t xml:space="preserve">inciso X do caput do art. 3º da Lei nº 13.874, de 2019</w:t>
        </w:r>
      </w:hyperlink>
      <w:r w:rsidDel="00000000" w:rsidR="00000000" w:rsidRPr="00000000">
        <w:rPr>
          <w:rFonts w:ascii="Times New Roman" w:cs="Times New Roman" w:eastAsia="Times New Roman" w:hAnsi="Times New Roman"/>
          <w:rtl w:val="0"/>
        </w:rPr>
        <w:t xml:space="preserve"> , e na </w:t>
      </w:r>
      <w:hyperlink r:id="rId12">
        <w:r w:rsidDel="00000000" w:rsidR="00000000" w:rsidRPr="00000000">
          <w:rPr>
            <w:rFonts w:ascii="Times New Roman" w:cs="Times New Roman" w:eastAsia="Times New Roman" w:hAnsi="Times New Roman"/>
            <w:color w:val="0563c1"/>
            <w:u w:val="single"/>
            <w:rtl w:val="0"/>
          </w:rPr>
          <w:t xml:space="preserve">Lei nº 13.709, de 14 de agosto de 2018</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0">
      <w:pPr>
        <w:ind w:left="311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ind w:left="311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Lei nº 12.682, art. 2º-A: </w:t>
      </w:r>
    </w:p>
    <w:p w:rsidR="00000000" w:rsidDel="00000000" w:rsidP="00000000" w:rsidRDefault="00000000" w:rsidRPr="00000000" w14:paraId="00000092">
      <w:pPr>
        <w:ind w:left="311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 2º-A. Fica autorizado o armazenamento, em meio eletrônico, óptico ou equivalente, de documentos públicos ou privados, compostos por dados ou por imagens, observado o disposto nesta Lei, nas legislações específicas e no regulamento. </w:t>
      </w:r>
      <w:hyperlink r:id="rId13">
        <w:r w:rsidDel="00000000" w:rsidR="00000000" w:rsidRPr="00000000">
          <w:rPr>
            <w:rFonts w:ascii="Times New Roman" w:cs="Times New Roman" w:eastAsia="Times New Roman" w:hAnsi="Times New Roman"/>
            <w:color w:val="0563c1"/>
            <w:u w:val="single"/>
            <w:rtl w:val="0"/>
          </w:rPr>
          <w:t xml:space="preserve">(Incluído pela Lei nº 13.874, de 2019) </w:t>
        </w:r>
      </w:hyperlink>
      <w:hyperlink r:id="rId14">
        <w:r w:rsidDel="00000000" w:rsidR="00000000" w:rsidRPr="00000000">
          <w:rPr>
            <w:rFonts w:ascii="Times New Roman" w:cs="Times New Roman" w:eastAsia="Times New Roman" w:hAnsi="Times New Roman"/>
            <w:color w:val="0563c1"/>
            <w:u w:val="single"/>
            <w:rtl w:val="0"/>
          </w:rPr>
          <w:t xml:space="preserve">(Regulamento)</w:t>
        </w:r>
      </w:hyperlink>
      <w:r w:rsidDel="00000000" w:rsidR="00000000" w:rsidRPr="00000000">
        <w:rPr>
          <w:rtl w:val="0"/>
        </w:rPr>
      </w:r>
    </w:p>
    <w:p w:rsidR="00000000" w:rsidDel="00000000" w:rsidP="00000000" w:rsidRDefault="00000000" w:rsidRPr="00000000" w14:paraId="00000093">
      <w:pPr>
        <w:ind w:left="311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ind w:left="3119" w:firstLine="0"/>
        <w:jc w:val="both"/>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0563c1"/>
            <w:u w:val="single"/>
            <w:rtl w:val="0"/>
          </w:rPr>
          <w:t xml:space="preserve">Decreto nº 10.278, de 18 de março de 2020</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5">
      <w:pPr>
        <w:ind w:left="311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Decreto regulamenta o disposto no </w:t>
      </w:r>
      <w:hyperlink r:id="rId16">
        <w:r w:rsidDel="00000000" w:rsidR="00000000" w:rsidRPr="00000000">
          <w:rPr>
            <w:rFonts w:ascii="Times New Roman" w:cs="Times New Roman" w:eastAsia="Times New Roman" w:hAnsi="Times New Roman"/>
            <w:color w:val="0563c1"/>
            <w:u w:val="single"/>
            <w:rtl w:val="0"/>
          </w:rPr>
          <w:t xml:space="preserve">inciso X do caput do art. 3º da Lei nº 13.874, de 20 de setembro de 2019</w:t>
        </w:r>
      </w:hyperlink>
      <w:r w:rsidDel="00000000" w:rsidR="00000000" w:rsidRPr="00000000">
        <w:rPr>
          <w:rFonts w:ascii="Times New Roman" w:cs="Times New Roman" w:eastAsia="Times New Roman" w:hAnsi="Times New Roman"/>
          <w:rtl w:val="0"/>
        </w:rPr>
        <w:t xml:space="preserve"> , e no </w:t>
      </w:r>
      <w:hyperlink r:id="rId17">
        <w:r w:rsidDel="00000000" w:rsidR="00000000" w:rsidRPr="00000000">
          <w:rPr>
            <w:rFonts w:ascii="Times New Roman" w:cs="Times New Roman" w:eastAsia="Times New Roman" w:hAnsi="Times New Roman"/>
            <w:color w:val="0563c1"/>
            <w:u w:val="single"/>
            <w:rtl w:val="0"/>
          </w:rPr>
          <w:t xml:space="preserve">art. 2º-A da Lei nº 12.682, de 9 de julho de 2012</w:t>
        </w:r>
      </w:hyperlink>
      <w:r w:rsidDel="00000000" w:rsidR="00000000" w:rsidRPr="00000000">
        <w:rPr>
          <w:rFonts w:ascii="Times New Roman" w:cs="Times New Roman" w:eastAsia="Times New Roman" w:hAnsi="Times New Roman"/>
          <w:rtl w:val="0"/>
        </w:rPr>
        <w:t xml:space="preserve"> , para estabelecer a técnica e os requisitos para a digitalização de documentos públicos ou privados, a fim de que os documentos digitalizados produzam os mesmos efeitos legais dos documentos originais.</w:t>
      </w:r>
    </w:p>
    <w:p w:rsidR="00000000" w:rsidDel="00000000" w:rsidP="00000000" w:rsidRDefault="00000000" w:rsidRPr="00000000" w14:paraId="00000096">
      <w:pPr>
        <w:ind w:left="311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ind w:left="311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Lei nº 13.874, art. 3º:</w:t>
      </w:r>
    </w:p>
    <w:p w:rsidR="00000000" w:rsidDel="00000000" w:rsidP="00000000" w:rsidRDefault="00000000" w:rsidRPr="00000000" w14:paraId="00000098">
      <w:pPr>
        <w:ind w:left="311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inciso X:  arquivar qualquer documento por meio de microfilme ou por meio digital, conforme técnica e requisitos estabelecidos em regulamento, hipótese em que se equiparará a documento físico para todos os efeitos legais e para a comprovação de qualquer ato de direito público;  </w:t>
      </w:r>
    </w:p>
    <w:p w:rsidR="00000000" w:rsidDel="00000000" w:rsidP="00000000" w:rsidRDefault="00000000" w:rsidRPr="00000000" w14:paraId="00000099">
      <w:pPr>
        <w:ind w:left="3119"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ind w:left="311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Lei nº 13.709:</w:t>
      </w:r>
    </w:p>
    <w:p w:rsidR="00000000" w:rsidDel="00000000" w:rsidP="00000000" w:rsidRDefault="00000000" w:rsidRPr="00000000" w14:paraId="0000009B">
      <w:pPr>
        <w:ind w:left="311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Lei 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 (Lei Geral de Proteção de Dados Pessoais (LGPD).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Envio dos eventos de SST no eSocial para carga inicial.  </w:t>
      </w:r>
    </w:p>
    <w:p w:rsidR="00000000" w:rsidDel="00000000" w:rsidP="00000000" w:rsidRDefault="00000000" w:rsidRPr="00000000" w14:paraId="0000009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09" w:right="0" w:hanging="72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Evento S-2210 / CAT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Comunicação de Acidente do Trabalho deve ser emitido nas seguintes situações:</w:t>
      </w:r>
    </w:p>
    <w:p w:rsidR="00000000" w:rsidDel="00000000" w:rsidP="00000000" w:rsidRDefault="00000000" w:rsidRPr="00000000" w14:paraId="0000009F">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418"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Acidente de trabalho ou de trajeto: é o acidente ocorrido no exercício da atividade profissional a serviço da empresa ou no deslocamento residência / trabalho / residência, e que provoque lesão corporal ou perturbação funcional que cause a perda ou redução – permanente ou temporária – da capacidade para o trabalho ou, em último caso, a morte; </w:t>
      </w:r>
    </w:p>
    <w:p w:rsidR="00000000" w:rsidDel="00000000" w:rsidP="00000000" w:rsidRDefault="00000000" w:rsidRPr="00000000" w14:paraId="000000A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418"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Doença ocupacional: é aquela produzida ou desencadeada pelo exercício do trabalho peculiar a determinada atividade e constante da respectiva relação elaborada pelo Ministério do Trabalho e da Previdência Social.</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OBS.: esse evento tem prazo de 1(um) dia útil após o acontecimento para ser enviado.</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 caso de acidente com ÓBITO o prazo para envio é IMEDIATO.</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OBS.: Para geração desse evento é necessário que as informações do acidente sejam enviadas até as 16 horas do dia para envio do evento, e será cobrado valor para transmissão, pois só é enviado em caso de acidente:</w:t>
      </w:r>
    </w:p>
    <w:p w:rsidR="00000000" w:rsidDel="00000000" w:rsidP="00000000" w:rsidRDefault="00000000" w:rsidRPr="00000000" w14:paraId="000000A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informações deverão ser a nós devolvida via checklist que será disponibilizado e orientado quanto ao seu preenchimento ou,</w:t>
      </w:r>
    </w:p>
    <w:p w:rsidR="00000000" w:rsidDel="00000000" w:rsidP="00000000" w:rsidRDefault="00000000" w:rsidRPr="00000000" w14:paraId="000000A6">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Fornecimento dos documentos necessários ao preenchimento do evento;</w:t>
      </w:r>
    </w:p>
    <w:p w:rsidR="00000000" w:rsidDel="00000000" w:rsidP="00000000" w:rsidRDefault="00000000" w:rsidRPr="00000000" w14:paraId="000000A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obrigatório a apresentação do atestado/declaração do médico que atendeu o acidentado (esse evento não pode ser gerado sem essa informação).</w:t>
      </w:r>
    </w:p>
    <w:p w:rsidR="00000000" w:rsidDel="00000000" w:rsidP="00000000" w:rsidRDefault="00000000" w:rsidRPr="00000000" w14:paraId="000000A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Evento S-2220 – Monitoramento da Saúde do trabalhador   </w:t>
      </w:r>
    </w:p>
    <w:p w:rsidR="00000000" w:rsidDel="00000000" w:rsidP="00000000" w:rsidRDefault="00000000" w:rsidRPr="00000000" w14:paraId="000000A9">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 nos ser fornecido cópia do PCMSO em meio eletrônico, quando aplicável.</w:t>
      </w:r>
    </w:p>
    <w:p w:rsidR="00000000" w:rsidDel="00000000" w:rsidP="00000000" w:rsidRDefault="00000000" w:rsidRPr="00000000" w14:paraId="000000A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Os ASO e exames complementares devem ser a nós enviados no mínimo até o último dia do mês da realização para que possamos respeitar as regras do eSocial conforme abaixo:</w:t>
      </w:r>
    </w:p>
    <w:p w:rsidR="00000000" w:rsidDel="00000000" w:rsidP="00000000" w:rsidRDefault="00000000" w:rsidRPr="00000000" w14:paraId="000000A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Enviar ASO e exames complementares em arquivo digital ou o check list devidamente preenchido e assinado pelo responsável da empresa.</w:t>
      </w:r>
    </w:p>
    <w:p w:rsidR="00000000" w:rsidDel="00000000" w:rsidP="00000000" w:rsidRDefault="00000000" w:rsidRPr="00000000" w14:paraId="000000A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Prazo de envio desse evento deve ser enviado até o dia 15 (quinze) do mês subsequente ao da realização do correspondente exame.</w:t>
      </w:r>
    </w:p>
    <w:p w:rsidR="00000000" w:rsidDel="00000000" w:rsidP="00000000" w:rsidRDefault="00000000" w:rsidRPr="00000000" w14:paraId="000000A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regra não altera o prazo legal para a realização dos exames, que deve seguir o previsto na legislação, sendo que somente o registro da informação no eSocial é permitido até o dia 15 (quinze) do mês subsequente.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3.16. O envio do exame demissional é obrigatório, exceto para os casos abaixo: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3.16.1. No exame demissional, o exame clínico deve ser realizado em até 10 (dez) dias contados do término do contrato, podendo ser dispensado caso o exame clínico ocupacional mais recente tenha sido realizado há menos de 135 (centro e trinta e cinco) dias, para as organizações graus de risco 1 e 2, e há menos de 90 (noventa) dias, para as organizações graus de risco 3 e 4.</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3.16.2. As informações para geração desse evento não possuem periodicidade, deve ser respeitado os prazos definidos no PCMSO e enviados sob essa condição.</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3.16.3. As informações do médico emitente do ASO/coordenador do PCMSO deverão estar corretas e legíveis.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Obs.: Só serão enviadas informações de ASO e exames complementares realizados após a obrigatoriedade pela empresa ao envio dos eventos de SST de acordo com o cronograma oficial de implantação do e-Social.</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3.17. Evento S-2240 – Monitoramento das Condições Ambientais (PPP eletrônico)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3.17.1. Para geração desse evento é necessário o fornecimento do LTCAT em arquivo eletrônico ou demonstrações ambientais equivalentes que atenda ao disposto na INSTRUÇÃO NORMATIVA INSS 128, de 29 de março de 2022:</w:t>
      </w:r>
    </w:p>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1º A partir da implantação em meio digital do PPP ou de documento que venha a substituí-lo, esse formulário deverá ser preenchido para todos os segurados empregados, avulsos e cooperados vinculados a cooperativas de trabalho ou de produção, independentemente do ramo de atividade da empresa, da exposição a agentes prejudiciais à saúde.</w:t>
      </w:r>
    </w:p>
    <w:p w:rsidR="00000000" w:rsidDel="00000000" w:rsidP="00000000" w:rsidRDefault="00000000" w:rsidRPr="00000000" w14:paraId="000000B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3º A declaração de inexistência de exposição a riscos físicos, químicos e biológicos ou associação desses agentes no PPP poderá ser feita:</w:t>
      </w:r>
    </w:p>
    <w:p w:rsidR="00000000" w:rsidDel="00000000" w:rsidP="00000000" w:rsidRDefault="00000000" w:rsidRPr="00000000" w14:paraId="000000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Para a Microempresa - ME e a Empresa de Pequeno Porte - EPP embasada na declaração eletrônica de ausência de riscos físicos, químicos e biológicos prevista no item 1.8.4 da NR 1, com redação dada pela Redação dada pela Portaria SEPRT nº 6.730, de 9 de março de 2020;</w:t>
      </w:r>
    </w:p>
    <w:p w:rsidR="00000000" w:rsidDel="00000000" w:rsidP="00000000" w:rsidRDefault="00000000" w:rsidRPr="00000000" w14:paraId="000000B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 Para o Microempreendedor Individual - MEI sempre que nas fichas com orientações sobre as medidas de prevenção a serem adotadas de acordo com a atividade econômica de desenvolvida, nos termos do item 1.8.2 da NR 1, com redação dada pela Redação dada pela Portaria SEPRT nº 6.730, de 9 de março de 2020, não existir a indicação de exposição a agentes físicos, químicos ou biológicos; e</w:t>
      </w:r>
    </w:p>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-Para todas as empresas quando no inventário de riscos do Programa de Gerenciamento de Riscos (PGR) de que trata o item 1.5.7 da NR 1 do Ministério do Trabalho e Previdência for constatada a inexistência de riscos físicos, químicos e biológicos previstos no anexo IV do Regulamento da Previdência Social.</w:t>
      </w:r>
    </w:p>
    <w:p w:rsidR="00000000" w:rsidDel="00000000" w:rsidP="00000000" w:rsidRDefault="00000000" w:rsidRPr="00000000" w14:paraId="000000BC">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 ser enviada carga inicial desse evento para todos os trabalhadores com vínculo de trabalho com a empresa.</w:t>
      </w:r>
    </w:p>
    <w:p w:rsidR="00000000" w:rsidDel="00000000" w:rsidP="00000000" w:rsidRDefault="00000000" w:rsidRPr="00000000" w14:paraId="000000BD">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Caso haja mudança no ambiente de trabalho, essas alterações devem ser informadas até o último dia do mês da ocorrência.</w:t>
      </w:r>
    </w:p>
    <w:p w:rsidR="00000000" w:rsidDel="00000000" w:rsidP="00000000" w:rsidRDefault="00000000" w:rsidRPr="00000000" w14:paraId="000000BE">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ausência de exposição a riscos também deve ser enviada ao e-Social.</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3.17.5. Toda vez que ocorrer alteração no ambiente de trabalho, conforme determina a INSTRUÇÃO NORMATIVA INSS 128, de 29 de março de 2022, deverá ser informado através do evento S-2240:</w:t>
      </w:r>
    </w:p>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3.17.6. Parágrafo único. Para efeito do disposto no caput serão considerados como alteração do ambiente de trabalho ou em sua organização, entre outras, aquelas decorrentes de: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 Mudança de leiaute;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 Substituição de máquinas ou de equipamentos;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 Adoção ou alteração de tecnologia de proteção coletiva; 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 Alcance dos níveis de ação estabelecidos na legislação trabalhista, se aplicável</w:t>
      </w:r>
    </w:p>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4ª FASE: envio das informações constantes dos eventos S-2210, S-2220 e S-2240</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-380999</wp:posOffset>
                </wp:positionH>
                <wp:positionV relativeFrom="paragraph">
                  <wp:posOffset>215900</wp:posOffset>
                </wp:positionV>
                <wp:extent cx="6177280" cy="2596515"/>
                <wp:effectExtent b="0" l="0" r="0" t="0"/>
                <wp:wrapNone/>
                <wp:docPr id="1307780703" name=""/>
                <a:graphic>
                  <a:graphicData uri="http://schemas.microsoft.com/office/word/2010/wordprocessingGroup">
                    <wpg:wgp>
                      <wpg:cNvGrpSpPr/>
                      <wpg:grpSpPr>
                        <a:xfrm>
                          <a:off x="2257350" y="2481725"/>
                          <a:ext cx="6177280" cy="2596515"/>
                          <a:chOff x="2257350" y="2481725"/>
                          <a:chExt cx="6182075" cy="2596550"/>
                        </a:xfrm>
                      </wpg:grpSpPr>
                      <wpg:grpSp>
                        <wpg:cNvGrpSpPr/>
                        <wpg:grpSpPr>
                          <a:xfrm>
                            <a:off x="2257360" y="2481743"/>
                            <a:ext cx="6177280" cy="2596515"/>
                            <a:chOff x="0" y="0"/>
                            <a:chExt cx="5944559" cy="3038475"/>
                          </a:xfrm>
                        </wpg:grpSpPr>
                        <wps:wsp>
                          <wps:cNvSpPr/>
                          <wps:cNvPr id="3" name="Shape 3"/>
                          <wps:spPr>
                            <a:xfrm>
                              <a:off x="0" y="0"/>
                              <a:ext cx="5944550" cy="3038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8">
                              <a:alphaModFix/>
                            </a:blip>
                            <a:srcRect b="0" l="0" r="0" t="0"/>
                            <a:stretch/>
                          </pic:blipFill>
                          <pic:spPr>
                            <a:xfrm>
                              <a:off x="0" y="0"/>
                              <a:ext cx="3202940" cy="3038475"/>
                            </a:xfrm>
                            <a:prstGeom prst="rect">
                              <a:avLst/>
                            </a:prstGeom>
                            <a:noFill/>
                            <a:ln>
                              <a:noFill/>
                            </a:ln>
                          </pic:spPr>
                        </pic:pic>
                        <wps:wsp>
                          <wps:cNvSpPr/>
                          <wps:cNvPr id="5" name="Shape 5"/>
                          <wps:spPr>
                            <a:xfrm>
                              <a:off x="2895600" y="266700"/>
                              <a:ext cx="3036282" cy="410159"/>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555555"/>
                                    <w:sz w:val="16"/>
                                    <w:highlight w:val="white"/>
                                    <w:vertAlign w:val="baseline"/>
                                  </w:rPr>
                                  <w:t xml:space="preserve">GRUPO 1 - Empresas com faturamento anual superior a R$ 78 milhões </w:t>
                                </w:r>
                                <w:r w:rsidDel="00000000" w:rsidR="00000000" w:rsidRPr="00000000">
                                  <w:rPr>
                                    <w:rFonts w:ascii="Calibri" w:cs="Calibri" w:eastAsia="Calibri" w:hAnsi="Calibri"/>
                                    <w:b w:val="1"/>
                                    <w:i w:val="0"/>
                                    <w:smallCaps w:val="0"/>
                                    <w:strike w:val="0"/>
                                    <w:color w:val="555555"/>
                                    <w:sz w:val="16"/>
                                    <w:highlight w:val="yellow"/>
                                    <w:vertAlign w:val="baseline"/>
                                  </w:rPr>
                                  <w:t xml:space="preserve">(obrigadas desde  13/10/21)</w:t>
                                </w:r>
                              </w:p>
                            </w:txbxContent>
                          </wps:txbx>
                          <wps:bodyPr anchorCtr="0" anchor="t" bIns="45700" lIns="91425" spcFirstLastPara="1" rIns="91425" wrap="square" tIns="45700">
                            <a:noAutofit/>
                          </wps:bodyPr>
                        </wps:wsp>
                        <wps:wsp>
                          <wps:cNvSpPr/>
                          <wps:cNvPr id="6" name="Shape 6"/>
                          <wps:spPr>
                            <a:xfrm>
                              <a:off x="2444750" y="565150"/>
                              <a:ext cx="389255" cy="2011045"/>
                            </a:xfrm>
                            <a:prstGeom prst="rect">
                              <a:avLst/>
                            </a:prstGeom>
                            <a:noFill/>
                            <a:ln cap="flat" cmpd="sng" w="635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907990" y="717550"/>
                              <a:ext cx="3036569" cy="721359"/>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555555"/>
                                    <w:sz w:val="16"/>
                                    <w:highlight w:val="white"/>
                                    <w:vertAlign w:val="baseline"/>
                                  </w:rPr>
                                  <w:t xml:space="preserve">GRUPO 2 - entidades empresariais com faturamento no ano de 2016 de até R$ 78.000.000,00 (setenta e oito milhões) e que não sejam optantes pelo Simples Nacional.  </w:t>
                                </w:r>
                                <w:r w:rsidDel="00000000" w:rsidR="00000000" w:rsidRPr="00000000">
                                  <w:rPr>
                                    <w:rFonts w:ascii="Calibri" w:cs="Calibri" w:eastAsia="Calibri" w:hAnsi="Calibri"/>
                                    <w:b w:val="1"/>
                                    <w:i w:val="0"/>
                                    <w:smallCaps w:val="0"/>
                                    <w:strike w:val="0"/>
                                    <w:color w:val="555555"/>
                                    <w:sz w:val="16"/>
                                    <w:highlight w:val="yellow"/>
                                    <w:vertAlign w:val="baseline"/>
                                  </w:rPr>
                                  <w:t xml:space="preserve">(obrigadas a partir de 10/01/22)</w:t>
                                </w:r>
                              </w:p>
                            </w:txbxContent>
                          </wps:txbx>
                          <wps:bodyPr anchorCtr="0" anchor="t" bIns="45700" lIns="91425" spcFirstLastPara="1" rIns="91425" wrap="square" tIns="45700">
                            <a:noAutofit/>
                          </wps:bodyPr>
                        </wps:wsp>
                        <wps:wsp>
                          <wps:cNvSpPr/>
                          <wps:cNvPr id="8" name="Shape 8"/>
                          <wps:spPr>
                            <a:xfrm>
                              <a:off x="2908300" y="1511300"/>
                              <a:ext cx="3035935" cy="87503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555555"/>
                                    <w:sz w:val="16"/>
                                    <w:highlight w:val="white"/>
                                    <w:vertAlign w:val="baseline"/>
                                  </w:rPr>
                                  <w:t xml:space="preserve">GRUPO 3 - Pessoas Jurídicas - empregadores optantes pelo Simples Nacional e entidades sem fins lucrativos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555555"/>
                                    <w:sz w:val="16"/>
                                    <w:highlight w:val="white"/>
                                    <w:vertAlign w:val="baseline"/>
                                  </w:rPr>
                                </w:r>
                                <w:r w:rsidDel="00000000" w:rsidR="00000000" w:rsidRPr="00000000">
                                  <w:rPr>
                                    <w:rFonts w:ascii="Calibri" w:cs="Calibri" w:eastAsia="Calibri" w:hAnsi="Calibri"/>
                                    <w:b w:val="0"/>
                                    <w:i w:val="0"/>
                                    <w:smallCaps w:val="0"/>
                                    <w:strike w:val="0"/>
                                    <w:color w:val="555555"/>
                                    <w:sz w:val="16"/>
                                    <w:highlight w:val="white"/>
                                    <w:vertAlign w:val="baseline"/>
                                  </w:rPr>
                                  <w:t xml:space="preserve">GRUPO 3 - Empregadores pessoa física (exceto doméstico), produtor rural PF.  </w:t>
                                </w:r>
                                <w:r w:rsidDel="00000000" w:rsidR="00000000" w:rsidRPr="00000000">
                                  <w:rPr>
                                    <w:rFonts w:ascii="Calibri" w:cs="Calibri" w:eastAsia="Calibri" w:hAnsi="Calibri"/>
                                    <w:b w:val="1"/>
                                    <w:i w:val="0"/>
                                    <w:smallCaps w:val="0"/>
                                    <w:strike w:val="0"/>
                                    <w:color w:val="555555"/>
                                    <w:sz w:val="16"/>
                                    <w:highlight w:val="yellow"/>
                                    <w:vertAlign w:val="baseline"/>
                                  </w:rPr>
                                  <w:t xml:space="preserve">(obrigadas a partir de 10/01/22)</w:t>
                                </w:r>
                              </w:p>
                            </w:txbxContent>
                          </wps:txbx>
                          <wps:bodyPr anchorCtr="0" anchor="t" bIns="45700" lIns="91425" spcFirstLastPara="1" rIns="91425" wrap="square" tIns="45700">
                            <a:noAutofit/>
                          </wps:bodyPr>
                        </wps:wsp>
                        <wps:wsp>
                          <wps:cNvSpPr/>
                          <wps:cNvPr id="9" name="Shape 9"/>
                          <wps:spPr>
                            <a:xfrm>
                              <a:off x="2908300" y="2457450"/>
                              <a:ext cx="3035935" cy="4095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555555"/>
                                    <w:sz w:val="16"/>
                                    <w:highlight w:val="white"/>
                                    <w:vertAlign w:val="baseline"/>
                                  </w:rPr>
                                  <w:t xml:space="preserve">GRUPO 4 - órgãos públicos e organizações internacionais.    </w:t>
                                </w:r>
                                <w:r w:rsidDel="00000000" w:rsidR="00000000" w:rsidRPr="00000000">
                                  <w:rPr>
                                    <w:rFonts w:ascii="Calibri" w:cs="Calibri" w:eastAsia="Calibri" w:hAnsi="Calibri"/>
                                    <w:b w:val="1"/>
                                    <w:i w:val="0"/>
                                    <w:smallCaps w:val="0"/>
                                    <w:strike w:val="0"/>
                                    <w:color w:val="555555"/>
                                    <w:sz w:val="16"/>
                                    <w:highlight w:val="yellow"/>
                                    <w:vertAlign w:val="baseline"/>
                                  </w:rPr>
                                  <w:t xml:space="preserve">(obrigadas a partir de 01/01/23)</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-380999</wp:posOffset>
                </wp:positionH>
                <wp:positionV relativeFrom="paragraph">
                  <wp:posOffset>215900</wp:posOffset>
                </wp:positionV>
                <wp:extent cx="6177280" cy="2596515"/>
                <wp:effectExtent b="0" l="0" r="0" t="0"/>
                <wp:wrapNone/>
                <wp:docPr id="1307780703" name="image2.png"/>
                <a:graphic>
                  <a:graphicData uri="http://schemas.openxmlformats.org/drawingml/2006/picture">
                    <pic:pic>
                      <pic:nvPicPr>
                        <pic:cNvPr id="0" name="image2.png"/>
                        <pic:cNvPicPr preferRelativeResize="0"/>
                      </pic:nvPicPr>
                      <pic:blipFill>
                        <a:blip r:embed="rId19"/>
                        <a:srcRect/>
                        <a:stretch>
                          <a:fillRect/>
                        </a:stretch>
                      </pic:blipFill>
                      <pic:spPr>
                        <a:xfrm>
                          <a:off x="0" y="0"/>
                          <a:ext cx="6177280" cy="2596515"/>
                        </a:xfrm>
                        <a:prstGeom prst="rect"/>
                        <a:ln/>
                      </pic:spPr>
                    </pic:pic>
                  </a:graphicData>
                </a:graphic>
              </wp:anchor>
            </w:drawing>
          </mc:Fallback>
        </mc:AlternateConten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hanging="1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NÃO ESCOPO</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3.18.1.1 Esta proposta não contempla a realização de exames médicos e avaliações quantitativas que não estejam expressamente descritas, bem como documentos que não estão mencionados no escopo.</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EQUIPE TÉCNICA RESPONSÁVEL</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11"/>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Engenheiro de Segurança do Trabalho;</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Médico do Trabalho (Responsável pelo PCMSO);</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4.0. DAS OBRIGAÇÕES DO CONTRATANTE</w:t>
      </w:r>
      <w:r w:rsidDel="00000000" w:rsidR="00000000" w:rsidRPr="00000000">
        <w:rPr>
          <w:rtl w:val="0"/>
        </w:rPr>
      </w:r>
    </w:p>
    <w:p w:rsidR="00000000" w:rsidDel="00000000" w:rsidP="00000000" w:rsidRDefault="00000000" w:rsidRPr="00000000" w14:paraId="000000D5">
      <w:pPr>
        <w:tabs>
          <w:tab w:val="left" w:leader="none" w:pos="70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w:t>
      </w:r>
      <w:r w:rsidDel="00000000" w:rsidR="00000000" w:rsidRPr="00000000">
        <w:rPr>
          <w:rFonts w:ascii="Times New Roman" w:cs="Times New Roman" w:eastAsia="Times New Roman" w:hAnsi="Times New Roman"/>
          <w:rtl w:val="0"/>
        </w:rPr>
        <w:t xml:space="preserve"> CONTRATANTE obrigar-se-á:</w:t>
      </w:r>
    </w:p>
    <w:p w:rsidR="00000000" w:rsidDel="00000000" w:rsidP="00000000" w:rsidRDefault="00000000" w:rsidRPr="00000000" w14:paraId="000000D6">
      <w:pPr>
        <w:widowControl w:val="0"/>
        <w:numPr>
          <w:ilvl w:val="0"/>
          <w:numId w:val="2"/>
        </w:numPr>
        <w:tabs>
          <w:tab w:val="left" w:leader="none" w:pos="55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Permitir a CONTRATADA o acesso às dependências para efetivação da prestação de serviços no horário estabelecido pela Câmara;</w:t>
      </w:r>
    </w:p>
    <w:p w:rsidR="00000000" w:rsidDel="00000000" w:rsidP="00000000" w:rsidRDefault="00000000" w:rsidRPr="00000000" w14:paraId="000000D7">
      <w:pPr>
        <w:widowControl w:val="0"/>
        <w:numPr>
          <w:ilvl w:val="0"/>
          <w:numId w:val="2"/>
        </w:numPr>
        <w:tabs>
          <w:tab w:val="left" w:leader="none" w:pos="488"/>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Convocar a qualquer momento a </w:t>
      </w:r>
      <w:r w:rsidDel="00000000" w:rsidR="00000000" w:rsidRPr="00000000">
        <w:rPr>
          <w:rFonts w:ascii="Times New Roman" w:cs="Times New Roman" w:eastAsia="Times New Roman" w:hAnsi="Times New Roman"/>
          <w:b w:val="1"/>
          <w:rtl w:val="0"/>
        </w:rPr>
        <w:t xml:space="preserve">CONTRATADA</w:t>
      </w:r>
      <w:r w:rsidDel="00000000" w:rsidR="00000000" w:rsidRPr="00000000">
        <w:rPr>
          <w:rFonts w:ascii="Times New Roman" w:cs="Times New Roman" w:eastAsia="Times New Roman" w:hAnsi="Times New Roman"/>
          <w:rtl w:val="0"/>
        </w:rPr>
        <w:t xml:space="preserve"> para prestar esclarecimento ou sanar dúvidas decorrentes da entrega dos itens.</w:t>
      </w:r>
    </w:p>
    <w:p w:rsidR="00000000" w:rsidDel="00000000" w:rsidP="00000000" w:rsidRDefault="00000000" w:rsidRPr="00000000" w14:paraId="000000D8">
      <w:pPr>
        <w:widowControl w:val="0"/>
        <w:numPr>
          <w:ilvl w:val="0"/>
          <w:numId w:val="2"/>
        </w:numPr>
        <w:tabs>
          <w:tab w:val="left" w:leader="none" w:pos="51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Oferecer todas as informações necessárias ao bom andamento do fornecimento;</w:t>
      </w:r>
    </w:p>
    <w:p w:rsidR="00000000" w:rsidDel="00000000" w:rsidP="00000000" w:rsidRDefault="00000000" w:rsidRPr="00000000" w14:paraId="000000D9">
      <w:pPr>
        <w:widowControl w:val="0"/>
        <w:numPr>
          <w:ilvl w:val="0"/>
          <w:numId w:val="2"/>
        </w:numPr>
        <w:tabs>
          <w:tab w:val="left" w:leader="none" w:pos="493"/>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Efetuar o pagamento nas condições e nos prazos estipulados;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Designar servidor para fiscalizar, acompanhar e atestar a entregados itens estipulados no contrato.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 DAS OBRIGAÇÕES DO CONTRATADO</w:t>
      </w:r>
      <w:r w:rsidDel="00000000" w:rsidR="00000000" w:rsidRPr="00000000">
        <w:rPr>
          <w:rtl w:val="0"/>
        </w:rPr>
      </w:r>
    </w:p>
    <w:p w:rsidR="00000000" w:rsidDel="00000000" w:rsidP="00000000" w:rsidRDefault="00000000" w:rsidRPr="00000000" w14:paraId="000000DC">
      <w:pPr>
        <w:tabs>
          <w:tab w:val="left" w:leader="none" w:pos="70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A CONTRATADA obrigar-se-á:</w:t>
      </w:r>
    </w:p>
    <w:p w:rsidR="00000000" w:rsidDel="00000000" w:rsidP="00000000" w:rsidRDefault="00000000" w:rsidRPr="00000000" w14:paraId="000000DD">
      <w:pPr>
        <w:widowControl w:val="0"/>
        <w:numPr>
          <w:ilvl w:val="0"/>
          <w:numId w:val="11"/>
        </w:numPr>
        <w:tabs>
          <w:tab w:val="left" w:leader="none" w:pos="532"/>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Efetuara a prestação de serviços no local determinado pela Câmara, por meio de veículo adequado sendo vedado à utilização de meios alternativos de transporte;</w:t>
      </w:r>
    </w:p>
    <w:p w:rsidR="00000000" w:rsidDel="00000000" w:rsidP="00000000" w:rsidRDefault="00000000" w:rsidRPr="00000000" w14:paraId="000000DE">
      <w:pPr>
        <w:widowControl w:val="0"/>
        <w:numPr>
          <w:ilvl w:val="0"/>
          <w:numId w:val="11"/>
        </w:numPr>
        <w:tabs>
          <w:tab w:val="left" w:leader="none" w:pos="51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Efetuara a prestação de serviços nos horários determinados pela Câmara;</w:t>
      </w:r>
    </w:p>
    <w:p w:rsidR="00000000" w:rsidDel="00000000" w:rsidP="00000000" w:rsidRDefault="00000000" w:rsidRPr="00000000" w14:paraId="000000DF">
      <w:pPr>
        <w:widowControl w:val="0"/>
        <w:numPr>
          <w:ilvl w:val="0"/>
          <w:numId w:val="11"/>
        </w:numPr>
        <w:tabs>
          <w:tab w:val="left" w:leader="none" w:pos="488"/>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Efetuara a prestação de serviços com qualidade e em conformidade com as especificações contidas neste Termo de Referência, cumprindo, rigorosamente, todas as Normas que regulamentam este tipo de fornecimento;</w:t>
      </w:r>
    </w:p>
    <w:p w:rsidR="00000000" w:rsidDel="00000000" w:rsidP="00000000" w:rsidRDefault="00000000" w:rsidRPr="00000000" w14:paraId="000000E0">
      <w:pPr>
        <w:widowControl w:val="0"/>
        <w:numPr>
          <w:ilvl w:val="0"/>
          <w:numId w:val="11"/>
        </w:numPr>
        <w:tabs>
          <w:tab w:val="left" w:leader="none" w:pos="558"/>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Serviço deverá ser efetuada por funcionários devidamente fardados e com crachá de identificação para que possam ter acesso aos locais de destino.</w:t>
      </w:r>
    </w:p>
    <w:p w:rsidR="00000000" w:rsidDel="00000000" w:rsidP="00000000" w:rsidRDefault="00000000" w:rsidRPr="00000000" w14:paraId="000000E1">
      <w:pPr>
        <w:widowControl w:val="0"/>
        <w:numPr>
          <w:ilvl w:val="0"/>
          <w:numId w:val="11"/>
        </w:numPr>
        <w:tabs>
          <w:tab w:val="left" w:leader="none" w:pos="476"/>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Realizar, sempre que necessário entrega aos sábados, respeitando os horários determinados pela Câmara, uma vez que podem acontecer situações emergenciais necessitando deste item;</w:t>
      </w:r>
    </w:p>
    <w:p w:rsidR="00000000" w:rsidDel="00000000" w:rsidP="00000000" w:rsidRDefault="00000000" w:rsidRPr="00000000" w14:paraId="000000E2">
      <w:pPr>
        <w:widowControl w:val="0"/>
        <w:numPr>
          <w:ilvl w:val="0"/>
          <w:numId w:val="11"/>
        </w:numPr>
        <w:tabs>
          <w:tab w:val="left" w:leader="none" w:pos="51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Manter durante toda a execução do contrato as condições de habilitação em compatibilidade com as obrigações assumidas no Termo de Referência e Edital.</w:t>
      </w:r>
    </w:p>
    <w:p w:rsidR="00000000" w:rsidDel="00000000" w:rsidP="00000000" w:rsidRDefault="00000000" w:rsidRPr="00000000" w14:paraId="000000E3">
      <w:pPr>
        <w:widowControl w:val="0"/>
        <w:numPr>
          <w:ilvl w:val="0"/>
          <w:numId w:val="11"/>
        </w:numPr>
        <w:tabs>
          <w:tab w:val="left" w:leader="none" w:pos="51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Reparar, corrigir, remover, reconstruir ou substituir, às suas expensas, no total ou em parte, o objeto do contrato em que se verificarem vícios, defeitos ou incorreções;</w:t>
      </w:r>
    </w:p>
    <w:p w:rsidR="00000000" w:rsidDel="00000000" w:rsidP="00000000" w:rsidRDefault="00000000" w:rsidRPr="00000000" w14:paraId="000000E4">
      <w:pPr>
        <w:widowControl w:val="0"/>
        <w:numPr>
          <w:ilvl w:val="0"/>
          <w:numId w:val="11"/>
        </w:numPr>
        <w:tabs>
          <w:tab w:val="left" w:leader="none" w:pos="51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Responder pelos danos causados diretamente à CONTRATANTE ou aos seus bens, ou ainda a terceiros, decorrentes de sua culpa ou dolo na execução do contrato;</w:t>
      </w:r>
    </w:p>
    <w:p w:rsidR="00000000" w:rsidDel="00000000" w:rsidP="00000000" w:rsidRDefault="00000000" w:rsidRPr="00000000" w14:paraId="000000E5">
      <w:pPr>
        <w:widowControl w:val="0"/>
        <w:numPr>
          <w:ilvl w:val="0"/>
          <w:numId w:val="11"/>
        </w:numPr>
        <w:tabs>
          <w:tab w:val="left" w:leader="none" w:pos="51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Respeitar as normas de controle de bens e de fluxo de pessoas nas dependências da CONTRATANTE;</w:t>
      </w:r>
    </w:p>
    <w:p w:rsidR="00000000" w:rsidDel="00000000" w:rsidP="00000000" w:rsidRDefault="00000000" w:rsidRPr="00000000" w14:paraId="000000E6">
      <w:pPr>
        <w:widowControl w:val="0"/>
        <w:numPr>
          <w:ilvl w:val="0"/>
          <w:numId w:val="11"/>
        </w:numPr>
        <w:tabs>
          <w:tab w:val="left" w:leader="none" w:pos="510"/>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Indicar, no início da execução do contrato, endereço eletrônico institucional para recebimento de cópia da ordem de fornecimento e/ou quaisquer outros documentos/informações necessárias para a efetiva execução contratual;</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Durante a execução do contrato, a CONTRATADA deverá informar à CONTRATANTE sobre eventuais alterações do endereço eletrônico institucional indicado no item anterior</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 DO CONTROLE E FISCALIZAÇÃO DA EXECUÇÃO</w:t>
      </w:r>
    </w:p>
    <w:p w:rsidR="00000000" w:rsidDel="00000000" w:rsidP="00000000" w:rsidRDefault="00000000" w:rsidRPr="00000000" w14:paraId="000000E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Nos termos do art. 117 da Lei nº 14.133, de 2021, será designado representante para acompanhar e fiscalizar a entrega dos bens, anotando em registro próprio todas as ocorrências relacionadas com a execução e determinando o que for necessário à regularização de falhas ou defeitos observados.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w:t>
      </w:r>
    </w:p>
    <w:p w:rsidR="00000000" w:rsidDel="00000000" w:rsidP="00000000" w:rsidRDefault="00000000" w:rsidRPr="00000000" w14:paraId="000000E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7.0. DO PAGAMENTO</w:t>
      </w:r>
    </w:p>
    <w:p w:rsidR="00000000" w:rsidDel="00000000" w:rsidP="00000000" w:rsidRDefault="00000000" w:rsidRPr="00000000" w14:paraId="000000EC">
      <w:pPr>
        <w:widowControl w:val="0"/>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O pagamento será realizado no prazo máximo de até 30 (trinta) dias, contados a partir do recebimento da Nota Fiscal ou Fatura, através de ordem bancária, para crédito em banco, agência e conta corrente indicados pelo contratado.</w:t>
      </w:r>
    </w:p>
    <w:p w:rsidR="00000000" w:rsidDel="00000000" w:rsidP="00000000" w:rsidRDefault="00000000" w:rsidRPr="00000000" w14:paraId="000000ED">
      <w:pPr>
        <w:widowControl w:val="0"/>
        <w:numPr>
          <w:ilvl w:val="2"/>
          <w:numId w:val="3"/>
        </w:numPr>
        <w:spacing w:after="120" w:before="120" w:lineRule="auto"/>
        <w:ind w:left="72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Considera-se ocorrido o recebimento da nota fiscal ou fatura no momento em que o órgão contratante atestar a execução do objeto da carta contrato</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EE">
      <w:pPr>
        <w:widowControl w:val="0"/>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7.2. 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 de 2021.</w:t>
      </w:r>
      <w:r w:rsidDel="00000000" w:rsidR="00000000" w:rsidRPr="00000000">
        <w:rPr>
          <w:rtl w:val="0"/>
        </w:rPr>
      </w:r>
    </w:p>
    <w:p w:rsidR="00000000" w:rsidDel="00000000" w:rsidP="00000000" w:rsidRDefault="00000000" w:rsidRPr="00000000" w14:paraId="000000EF">
      <w:pPr>
        <w:widowControl w:val="0"/>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7.3. Constatando-se, junto ao SICAF ou, na impossibilidade de acesso ao referido Sistema, mediante consulta aos sítios eletrônicos oficiais ou à documentação mencionada no art. 68 da Lei nº 14.133, de 2021, a situação de irregularidade do fornecedor contratado, </w:t>
      </w:r>
      <w:r w:rsidDel="00000000" w:rsidR="00000000" w:rsidRPr="00000000">
        <w:rPr>
          <w:rFonts w:ascii="Times New Roman" w:cs="Times New Roman" w:eastAsia="Times New Roman" w:hAnsi="Times New Roman"/>
          <w:rtl w:val="0"/>
        </w:rPr>
        <w:t xml:space="preserve">deverão ser tomadas as providências previstas no do art. 31 da Instrução Normativa nº 3, de 26 de abril de 2018</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F0">
      <w:pPr>
        <w:widowControl w:val="0"/>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7.4.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r w:rsidDel="00000000" w:rsidR="00000000" w:rsidRPr="00000000">
        <w:rPr>
          <w:rtl w:val="0"/>
        </w:rPr>
      </w:r>
    </w:p>
    <w:p w:rsidR="00000000" w:rsidDel="00000000" w:rsidP="00000000" w:rsidRDefault="00000000" w:rsidRPr="00000000" w14:paraId="000000F1">
      <w:pPr>
        <w:widowControl w:val="0"/>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7.5. Será considerada data do pagamento o dia em que constar como emitida a ordem bancária para pagamento.</w:t>
      </w:r>
      <w:r w:rsidDel="00000000" w:rsidR="00000000" w:rsidRPr="00000000">
        <w:rPr>
          <w:rtl w:val="0"/>
        </w:rPr>
      </w:r>
    </w:p>
    <w:p w:rsidR="00000000" w:rsidDel="00000000" w:rsidP="00000000" w:rsidRDefault="00000000" w:rsidRPr="00000000" w14:paraId="000000F2">
      <w:pPr>
        <w:widowControl w:val="0"/>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7.6. Previamente à emissão de nota de empenho e a cada pagamento, a Administração deverá realizar consulta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r w:rsidDel="00000000" w:rsidR="00000000" w:rsidRPr="00000000">
        <w:rPr>
          <w:rtl w:val="0"/>
        </w:rPr>
      </w:r>
    </w:p>
    <w:p w:rsidR="00000000" w:rsidDel="00000000" w:rsidP="00000000" w:rsidRDefault="00000000" w:rsidRPr="00000000" w14:paraId="000000F3">
      <w:pPr>
        <w:widowControl w:val="0"/>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7.8.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r w:rsidDel="00000000" w:rsidR="00000000" w:rsidRPr="00000000">
        <w:rPr>
          <w:rtl w:val="0"/>
        </w:rPr>
      </w:r>
    </w:p>
    <w:p w:rsidR="00000000" w:rsidDel="00000000" w:rsidP="00000000" w:rsidRDefault="00000000" w:rsidRPr="00000000" w14:paraId="000000F4">
      <w:pPr>
        <w:keepNext w:val="1"/>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7.9. Persistindo a irregularidade, a contratante deverá adotar as medidas necessárias à rescisão contratual nos autos do processo administrativo correspondente, assegurada à contratada a ampla defesa.</w:t>
      </w:r>
      <w:r w:rsidDel="00000000" w:rsidR="00000000" w:rsidRPr="00000000">
        <w:rPr>
          <w:rtl w:val="0"/>
        </w:rPr>
      </w:r>
    </w:p>
    <w:p w:rsidR="00000000" w:rsidDel="00000000" w:rsidP="00000000" w:rsidRDefault="00000000" w:rsidRPr="00000000" w14:paraId="000000F5">
      <w:pPr>
        <w:keepNext w:val="1"/>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7.10.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Del="00000000" w:rsidR="00000000" w:rsidRPr="00000000">
        <w:rPr>
          <w:rtl w:val="0"/>
        </w:rPr>
      </w:r>
    </w:p>
    <w:p w:rsidR="00000000" w:rsidDel="00000000" w:rsidP="00000000" w:rsidRDefault="00000000" w:rsidRPr="00000000" w14:paraId="000000F6">
      <w:pPr>
        <w:keepNext w:val="1"/>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7.11.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EM=I x N x VP, sendo:</w:t>
      </w:r>
    </w:p>
    <w:p w:rsidR="00000000" w:rsidDel="00000000" w:rsidP="00000000" w:rsidRDefault="00000000" w:rsidRPr="00000000" w14:paraId="000000F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EM=Encargos moratórios;</w:t>
      </w:r>
    </w:p>
    <w:p w:rsidR="00000000" w:rsidDel="00000000" w:rsidP="00000000" w:rsidRDefault="00000000" w:rsidRPr="00000000" w14:paraId="000000F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N=Número de dias entre a data prevista para o pagamento e a do efetivo pagamento;</w:t>
      </w:r>
    </w:p>
    <w:p w:rsidR="00000000" w:rsidDel="00000000" w:rsidP="00000000" w:rsidRDefault="00000000" w:rsidRPr="00000000" w14:paraId="000000F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VP=Valor da parcela a ser paga.</w:t>
      </w:r>
    </w:p>
    <w:p w:rsidR="00000000" w:rsidDel="00000000" w:rsidP="00000000" w:rsidRDefault="00000000" w:rsidRPr="00000000" w14:paraId="000000F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I=Índice de compensação financeira, assim apurado:</w:t>
      </w:r>
    </w:p>
    <w:tbl>
      <w:tblPr>
        <w:tblStyle w:val="Table3"/>
        <w:tblW w:w="3369.0" w:type="dxa"/>
        <w:jc w:val="left"/>
        <w:tblLayout w:type="fixed"/>
        <w:tblLook w:val="0400"/>
      </w:tblPr>
      <w:tblGrid>
        <w:gridCol w:w="1101"/>
        <w:gridCol w:w="850"/>
        <w:gridCol w:w="1418"/>
        <w:tblGridChange w:id="0">
          <w:tblGrid>
            <w:gridCol w:w="1101"/>
            <w:gridCol w:w="850"/>
            <w:gridCol w:w="1418"/>
          </w:tblGrid>
        </w:tblGridChange>
      </w:tblGrid>
      <w:tr>
        <w:trPr>
          <w:cantSplit w:val="0"/>
          <w:trHeight w:val="227" w:hRule="atLeast"/>
          <w:tblHeader w:val="0"/>
        </w:trPr>
        <w:tc>
          <w:tcPr>
            <w:vMerge w:val="restart"/>
            <w:vAlign w:val="center"/>
          </w:tcPr>
          <w:p w:rsidR="00000000" w:rsidDel="00000000" w:rsidP="00000000" w:rsidRDefault="00000000" w:rsidRPr="00000000" w14:paraId="000000FD">
            <w:pPr>
              <w:tabs>
                <w:tab w:val="left" w:leader="none" w:pos="1701"/>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(TX)</w:t>
            </w:r>
          </w:p>
        </w:tc>
        <w:tc>
          <w:tcPr>
            <w:vMerge w:val="restart"/>
            <w:vAlign w:val="center"/>
          </w:tcPr>
          <w:p w:rsidR="00000000" w:rsidDel="00000000" w:rsidP="00000000" w:rsidRDefault="00000000" w:rsidRPr="00000000" w14:paraId="000000FE">
            <w:pPr>
              <w:tabs>
                <w:tab w:val="left" w:leader="none" w:pos="1701"/>
              </w:tabs>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FF">
            <w:pPr>
              <w:tabs>
                <w:tab w:val="left" w:leader="none" w:pos="1701"/>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TX / 100 )</w:t>
            </w:r>
          </w:p>
        </w:tc>
      </w:tr>
      <w:tr>
        <w:trPr>
          <w:cantSplit w:val="0"/>
          <w:trHeight w:val="227" w:hRule="atLeast"/>
          <w:tblHeader w:val="0"/>
        </w:trPr>
        <w:tc>
          <w:tcPr>
            <w:vMerge w:val="continue"/>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02">
            <w:pPr>
              <w:tabs>
                <w:tab w:val="left" w:leader="none" w:pos="1701"/>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365</w:t>
            </w:r>
          </w:p>
        </w:tc>
      </w:tr>
    </w:tbl>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Percentual da taxa anual = Taxa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vigente no momento da apuração;</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8.0. DAS SANÇÕES ADMINISTRATIVAS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 Comete infração administrativa nos termos da Lei nº 14.133, de 2021, a Contratada que: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8.1.1.</w:t>
        <w:tab/>
        <w:t xml:space="preserve">inexecutar total ou parcialmente qualquer das obrigações assumidas em decorrência da contratação;</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8.1.2.</w:t>
        <w:tab/>
        <w:t xml:space="preserve">ensejar o retardamento da execução do objeto;</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8.1.3.</w:t>
        <w:tab/>
        <w:t xml:space="preserve">falhar ou fraudar na execução do contrato;</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8.1.4.</w:t>
        <w:tab/>
        <w:t xml:space="preserve">comportar-se de modo inidôneo;</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8.1.5.</w:t>
        <w:tab/>
        <w:t xml:space="preserve">cometer fraude fiscal;</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w:t>
        <w:tab/>
        <w:t xml:space="preserve">Pela inexecução total ou parcial do objeto deste contrato, a Administração pode aplicar à CONTRATADA as seguintes sanções: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8.2.1.</w:t>
        <w:tab/>
        <w:t xml:space="preserve">Advertência, por faltas leves, assim entendidas aquelas que não acarretem prejuízos significativos para a Contratante;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8.2.2.</w:t>
        <w:tab/>
        <w:t xml:space="preserve">multa moratória de 2% (dois por cento) por dia de atraso injustificado sobre o valor da parcela inadimplida, até o limite de 30 (trinta) dias;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8.2.3.</w:t>
        <w:tab/>
        <w:t xml:space="preserve">multa compensatória de 5% (cinco por cento) sobre o valor total do contrato, no caso de inexecução total do objeto;</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8.2.4.</w:t>
        <w:tab/>
        <w:t xml:space="preserve">em caso de inexecução parcial, a multa compensatória, no mesmo percentual do subitem acima, será aplicada de forma proporcional à obrigação inadimplida;</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8.2.5.</w:t>
        <w:tab/>
        <w:t xml:space="preserve">suspensão de licitar e impedimento de contratar com o órgão, entidade ou unidade administrativa pela qual a Administração Pública opera e atua concretamente, pelo prazo de até dois anos;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8.2.5.1. A Sanção de impedimento de licitar e contratar prevista neste subitem também é aplicável em quaisquer das hipóteses previstas como infração administrativa no subitem 8.1 deste Termo de Referência.</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8.2.7.</w:t>
        <w:tab/>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8.3.</w:t>
        <w:tab/>
        <w:t xml:space="preserve">As sanções previstas nos subitens 8.2.1, 8.2.5 poderão ser aplicadas à CONTRATADA juntamente com as de multa, descontando-a dos pagamentos a serem efetuados.</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8.4. Também ficam sujeitas às penalidades do art. 156, III e IV da Lei nº 14.133, de 2021, as empresas ou profissionais que: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8.4.1.</w:t>
        <w:tab/>
        <w:t xml:space="preserve">tenham sofrido condenação definitiva por praticar, por meio dolosos, fraude fiscal no recolhimento de quaisquer tributos;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8.4.2.</w:t>
        <w:tab/>
        <w:t xml:space="preserve">tenham praticado atos ilícitos visando a frustrar os objetivos da licitação;</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8.4.3.</w:t>
        <w:tab/>
        <w:t xml:space="preserve">demonstrem não possuir idoneidade para contratar com a Administração em virtude de atos ilícitos praticados.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8.5. A aplicação de qualquer das penalidades previstas realizar-se-á em processo administrativo que assegurará o contraditório e a ampla defesa à Contratada, observando-se o procedimento previsto na Lei nº 14.133, de 2021.</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8.6. As multas devidas e/ou prejuízos causados à Contratante serão deduzidos dos valores a serem pagos, ou recolhidos em favor da União, ou deduzidos da garantia, ou ainda, quando for o caso, serão inscritos na Dívida Ativa da União e cobrados judicialmente.</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8.6.1.</w:t>
        <w:tab/>
        <w:t xml:space="preserve">Caso a Contratante determine, a multa deverá ser recolhida no prazo máximo de 15 (quinze) dias, a contar da data do recebimento da comunicação enviada pela autoridade competente.</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8.7. Caso o valor da multa não seja suficiente para cobrir os prejuízos causados pela conduta do licitante, a União ou Entidade poderá cobrar o valor remanescente judicialmente, conforme artigo 419 do Código Civil.</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8.8. A autoridade competente, na aplicação das sanções, levará em consideração a gravidade da conduta do infrator, o caráter educativo da pena, bem como o dano causado à Administração, observado o princípio da proporcionalidade.</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8.9.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8.10.</w:t>
        <w:tab/>
        <w:t xml:space="preserve">A apuração e o julgamento das demais infrações administrativas não consideradas como ato lesivo à Administração Pública nacional ou estrangeira nos termos da Lei nº 12.846, de 1º de agosto de 2013, seguirão seu rito normal na unidade administrativa.</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8.11.</w:t>
        <w:tab/>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8.13.</w:t>
        <w:tab/>
        <w:t xml:space="preserve">Para fins de aplicação das penalidades, serão observadas as disposições da Instrução Normativa Nº 01/2017, da Secretária-geral da Presidência da República.</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9.0. DA PROPOSTA</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 Os licitantes deverão apresentar proposta de preço,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 validade de 90 (noventa) dias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conforme Termo de Referência.</w:t>
      </w:r>
    </w:p>
    <w:p w:rsidR="00000000" w:rsidDel="00000000" w:rsidP="00000000" w:rsidRDefault="00000000" w:rsidRPr="00000000" w14:paraId="00000124">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 DO PRAZO DE VIGENCIA DO CONTRATO</w:t>
      </w:r>
    </w:p>
    <w:p w:rsidR="00000000" w:rsidDel="00000000" w:rsidP="00000000" w:rsidRDefault="00000000" w:rsidRPr="00000000" w14:paraId="000001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O prazo de vigência do instrumento contratual será de 12 (doze) meses, contados a partir da sua assinatura.</w:t>
      </w:r>
    </w:p>
    <w:p w:rsidR="00000000" w:rsidDel="00000000" w:rsidP="00000000" w:rsidRDefault="00000000" w:rsidRPr="00000000" w14:paraId="000001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DO REAJUSTE</w:t>
      </w:r>
    </w:p>
    <w:p w:rsidR="00000000" w:rsidDel="00000000" w:rsidP="00000000" w:rsidRDefault="00000000" w:rsidRPr="00000000" w14:paraId="0000012A">
      <w:pPr>
        <w:tabs>
          <w:tab w:val="left" w:leader="none" w:pos="923"/>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tabs>
          <w:tab w:val="left" w:leader="none" w:pos="923"/>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 Os preços são fixos e irreajustáveis durante todo período da vigência do CONTRATO a contar da data de sua assinatura.</w:t>
      </w:r>
    </w:p>
    <w:p w:rsidR="00000000" w:rsidDel="00000000" w:rsidP="00000000" w:rsidRDefault="00000000" w:rsidRPr="00000000" w14:paraId="0000012C">
      <w:pPr>
        <w:tabs>
          <w:tab w:val="left" w:leader="none" w:pos="923"/>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12.0. DA CAPACIDADE TÉCNICA</w:t>
      </w: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 Para fins de qualificação técnica será cobrado do licitante que apresente:</w:t>
      </w:r>
    </w:p>
    <w:p w:rsidR="00000000" w:rsidDel="00000000" w:rsidP="00000000" w:rsidRDefault="00000000" w:rsidRPr="00000000" w14:paraId="000001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 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000000" w:rsidDel="00000000" w:rsidP="00000000" w:rsidRDefault="00000000" w:rsidRPr="00000000" w14:paraId="000001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 Não serão aceitos atestados emitidos pelo licitante em seu próprio nome, nem nenhum outro que não tenha se originado de contratação.</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 Os atestados apresentados poderão ser diligenciados de acordo com § 2º do art. 42, da Lei 14.133/21.</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c6fsj30r79" w:id="7"/>
      <w:bookmarkEnd w:id="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13.0. DO REAJUSTAMENTO</w:t>
      </w:r>
      <w:r w:rsidDel="00000000" w:rsidR="00000000" w:rsidRPr="00000000">
        <w:rPr>
          <w:rtl w:val="0"/>
        </w:rPr>
      </w:r>
    </w:p>
    <w:p w:rsidR="00000000" w:rsidDel="00000000" w:rsidP="00000000" w:rsidRDefault="00000000" w:rsidRPr="00000000" w14:paraId="00000133">
      <w:pPr>
        <w:tabs>
          <w:tab w:val="left" w:leader="none" w:pos="923"/>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 Os preços são fixos e irreajustáveis durante todo período da vigência do CONTRATO a contar da data de sua assinatura.</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14.0 DA DOTAÇÃO ORÇAMENTÁRIA</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recursos financeiros para fazer face às despesas da contratação correrão por conta da câmara e, cujo elemento de despesa constará no respectivo contrato e nota de empenho, observando as condições estabelecidas no processo licitatório.</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15.0. DAS DISPOSIÇÕES FINAIS</w:t>
      </w:r>
    </w:p>
    <w:p w:rsidR="00000000" w:rsidDel="00000000" w:rsidP="00000000" w:rsidRDefault="00000000" w:rsidRPr="00000000" w14:paraId="00000137">
      <w:pPr>
        <w:tabs>
          <w:tab w:val="left" w:leader="none" w:pos="763"/>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 O objeto, especificado e quantitativo constante deste </w:t>
      </w:r>
      <w:r w:rsidDel="00000000" w:rsidR="00000000" w:rsidRPr="00000000">
        <w:rPr>
          <w:rFonts w:ascii="Times New Roman" w:cs="Times New Roman" w:eastAsia="Times New Roman" w:hAnsi="Times New Roman"/>
          <w:b w:val="1"/>
          <w:rtl w:val="0"/>
        </w:rPr>
        <w:t xml:space="preserve">Termo de Referência</w:t>
      </w:r>
      <w:r w:rsidDel="00000000" w:rsidR="00000000" w:rsidRPr="00000000">
        <w:rPr>
          <w:rFonts w:ascii="Times New Roman" w:cs="Times New Roman" w:eastAsia="Times New Roman" w:hAnsi="Times New Roman"/>
          <w:rtl w:val="0"/>
        </w:rPr>
        <w:t xml:space="preserve">, são referências a serem verificadas de uma forma geral, indispensavelmente deve ser respeitado. Assim, este Termo jamais é exaustivo, havendo sempre a possibilidade de exceções, que justificadas, serão prontamente acatadas.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15.2. Possíveis indefinições, omissões, falhas ou incorreções das especificações ora fornecidas não poderão jamais constituir pretexto para a Contratada pretender cobrar “serviços extras” e/ou alterar a composição de preços unitários. Considerar-se-á, a Contratada como especializada em questão e que, por conseguinte, deverá ter computado no valor global da sua proposta também as complementações por acaso omitidas nas especificações, mais implícitas e necessárias ao adimplemento do objeto.</w:t>
      </w:r>
    </w:p>
    <w:p w:rsidR="00000000" w:rsidDel="00000000" w:rsidP="00000000" w:rsidRDefault="00000000" w:rsidRPr="00000000" w14:paraId="00000139">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Sertânia</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26</w:t>
      </w:r>
      <w:r w:rsidDel="00000000" w:rsidR="00000000" w:rsidRPr="00000000">
        <w:rPr>
          <w:rFonts w:ascii="Times New Roman" w:cs="Times New Roman" w:eastAsia="Times New Roman" w:hAnsi="Times New Roman"/>
          <w:color w:val="000000"/>
          <w:rtl w:val="0"/>
        </w:rPr>
        <w:t xml:space="preserve"> de ju</w:t>
      </w:r>
      <w:r w:rsidDel="00000000" w:rsidR="00000000" w:rsidRPr="00000000">
        <w:rPr>
          <w:rFonts w:ascii="Times New Roman" w:cs="Times New Roman" w:eastAsia="Times New Roman" w:hAnsi="Times New Roman"/>
          <w:rtl w:val="0"/>
        </w:rPr>
        <w:t xml:space="preserve">n</w:t>
      </w:r>
      <w:r w:rsidDel="00000000" w:rsidR="00000000" w:rsidRPr="00000000">
        <w:rPr>
          <w:rFonts w:ascii="Times New Roman" w:cs="Times New Roman" w:eastAsia="Times New Roman" w:hAnsi="Times New Roman"/>
          <w:color w:val="000000"/>
          <w:rtl w:val="0"/>
        </w:rPr>
        <w:t xml:space="preserve">ho de 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3B">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SEVERINO VERAS</w:t>
      </w:r>
      <w:r w:rsidDel="00000000" w:rsidR="00000000" w:rsidRPr="00000000">
        <w:rPr>
          <w:rtl w:val="0"/>
        </w:rPr>
      </w:r>
    </w:p>
    <w:p w:rsidR="00000000" w:rsidDel="00000000" w:rsidP="00000000" w:rsidRDefault="00000000" w:rsidRPr="00000000" w14:paraId="0000013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Diretor de Compras</w:t>
      </w:r>
    </w:p>
    <w:p w:rsidR="00000000" w:rsidDel="00000000" w:rsidP="00000000" w:rsidRDefault="00000000" w:rsidRPr="00000000" w14:paraId="0000013F">
      <w:pPr>
        <w:spacing w:line="276" w:lineRule="auto"/>
        <w:jc w:val="center"/>
        <w:rPr>
          <w:rFonts w:ascii="Times New Roman" w:cs="Times New Roman" w:eastAsia="Times New Roman" w:hAnsi="Times New Roman"/>
          <w:sz w:val="20"/>
          <w:szCs w:val="20"/>
        </w:rPr>
      </w:pPr>
      <w:r w:rsidDel="00000000" w:rsidR="00000000" w:rsidRPr="00000000">
        <w:rPr>
          <w:rtl w:val="0"/>
        </w:rPr>
      </w:r>
    </w:p>
    <w:sectPr>
      <w:headerReference r:id="rId20" w:type="default"/>
      <w:footerReference r:id="rId21" w:type="default"/>
      <w:pgSz w:h="16840" w:w="11900" w:orient="portrait"/>
      <w:pgMar w:bottom="1417" w:top="2131"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center" w:leader="none" w:pos="4252"/>
        <w:tab w:val="right" w:leader="none" w:pos="8504"/>
      </w:tabs>
      <w:rPr>
        <w:rFonts w:ascii="Times New Roman" w:cs="Times New Roman" w:eastAsia="Times New Roman" w:hAnsi="Times New Roman"/>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tabs>
        <w:tab w:val="left" w:leader="none" w:pos="360"/>
        <w:tab w:val="left" w:leader="none" w:pos="990"/>
        <w:tab w:val="center" w:leader="none" w:pos="4252"/>
      </w:tabs>
      <w:jc w:val="cente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6600"/>
        <w:sz w:val="36"/>
        <w:szCs w:val="36"/>
      </w:rPr>
      <w:drawing>
        <wp:inline distB="0" distT="0" distL="0" distR="0">
          <wp:extent cx="2653811" cy="1042675"/>
          <wp:effectExtent b="0" l="0" r="0" t="0"/>
          <wp:docPr id="130778070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53811" cy="10426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70" w:hanging="360"/>
      </w:pPr>
      <w:rPr>
        <w:rFonts w:ascii="Noto Sans Symbols" w:cs="Noto Sans Symbols" w:eastAsia="Noto Sans Symbols" w:hAnsi="Noto Sans Symbols"/>
      </w:rPr>
    </w:lvl>
    <w:lvl w:ilvl="1">
      <w:start w:val="1"/>
      <w:numFmt w:val="bullet"/>
      <w:lvlText w:val="o"/>
      <w:lvlJc w:val="left"/>
      <w:pPr>
        <w:ind w:left="2190" w:hanging="360"/>
      </w:pPr>
      <w:rPr>
        <w:rFonts w:ascii="Courier New" w:cs="Courier New" w:eastAsia="Courier New" w:hAnsi="Courier New"/>
      </w:rPr>
    </w:lvl>
    <w:lvl w:ilvl="2">
      <w:start w:val="1"/>
      <w:numFmt w:val="bullet"/>
      <w:lvlText w:val="▪"/>
      <w:lvlJc w:val="left"/>
      <w:pPr>
        <w:ind w:left="2910" w:hanging="360"/>
      </w:pPr>
      <w:rPr>
        <w:rFonts w:ascii="Noto Sans Symbols" w:cs="Noto Sans Symbols" w:eastAsia="Noto Sans Symbols" w:hAnsi="Noto Sans Symbols"/>
      </w:rPr>
    </w:lvl>
    <w:lvl w:ilvl="3">
      <w:start w:val="1"/>
      <w:numFmt w:val="bullet"/>
      <w:lvlText w:val="●"/>
      <w:lvlJc w:val="left"/>
      <w:pPr>
        <w:ind w:left="3630" w:hanging="360"/>
      </w:pPr>
      <w:rPr>
        <w:rFonts w:ascii="Noto Sans Symbols" w:cs="Noto Sans Symbols" w:eastAsia="Noto Sans Symbols" w:hAnsi="Noto Sans Symbols"/>
      </w:rPr>
    </w:lvl>
    <w:lvl w:ilvl="4">
      <w:start w:val="1"/>
      <w:numFmt w:val="bullet"/>
      <w:lvlText w:val="o"/>
      <w:lvlJc w:val="left"/>
      <w:pPr>
        <w:ind w:left="4350" w:hanging="360"/>
      </w:pPr>
      <w:rPr>
        <w:rFonts w:ascii="Courier New" w:cs="Courier New" w:eastAsia="Courier New" w:hAnsi="Courier New"/>
      </w:rPr>
    </w:lvl>
    <w:lvl w:ilvl="5">
      <w:start w:val="1"/>
      <w:numFmt w:val="bullet"/>
      <w:lvlText w:val="▪"/>
      <w:lvlJc w:val="left"/>
      <w:pPr>
        <w:ind w:left="5070" w:hanging="360"/>
      </w:pPr>
      <w:rPr>
        <w:rFonts w:ascii="Noto Sans Symbols" w:cs="Noto Sans Symbols" w:eastAsia="Noto Sans Symbols" w:hAnsi="Noto Sans Symbols"/>
      </w:rPr>
    </w:lvl>
    <w:lvl w:ilvl="6">
      <w:start w:val="1"/>
      <w:numFmt w:val="bullet"/>
      <w:lvlText w:val="●"/>
      <w:lvlJc w:val="left"/>
      <w:pPr>
        <w:ind w:left="5790" w:hanging="360"/>
      </w:pPr>
      <w:rPr>
        <w:rFonts w:ascii="Noto Sans Symbols" w:cs="Noto Sans Symbols" w:eastAsia="Noto Sans Symbols" w:hAnsi="Noto Sans Symbols"/>
      </w:rPr>
    </w:lvl>
    <w:lvl w:ilvl="7">
      <w:start w:val="1"/>
      <w:numFmt w:val="bullet"/>
      <w:lvlText w:val="o"/>
      <w:lvlJc w:val="left"/>
      <w:pPr>
        <w:ind w:left="6510" w:hanging="360"/>
      </w:pPr>
      <w:rPr>
        <w:rFonts w:ascii="Courier New" w:cs="Courier New" w:eastAsia="Courier New" w:hAnsi="Courier New"/>
      </w:rPr>
    </w:lvl>
    <w:lvl w:ilvl="8">
      <w:start w:val="1"/>
      <w:numFmt w:val="bullet"/>
      <w:lvlText w:val="▪"/>
      <w:lvlJc w:val="left"/>
      <w:pPr>
        <w:ind w:left="7230" w:hanging="360"/>
      </w:pPr>
      <w:rPr>
        <w:rFonts w:ascii="Noto Sans Symbols" w:cs="Noto Sans Symbols" w:eastAsia="Noto Sans Symbols" w:hAnsi="Noto Sans Symbols"/>
      </w:rPr>
    </w:lvl>
  </w:abstractNum>
  <w:abstractNum w:abstractNumId="2">
    <w:lvl w:ilvl="0">
      <w:start w:val="1"/>
      <w:numFmt w:val="lowerLetter"/>
      <w:lvlText w:val="%1)"/>
      <w:lvlJc w:val="left"/>
      <w:pPr>
        <w:ind w:left="221" w:hanging="329"/>
      </w:pPr>
      <w:rPr>
        <w:rFonts w:ascii="Arial" w:cs="Arial" w:eastAsia="Arial" w:hAnsi="Arial"/>
        <w:b w:val="1"/>
        <w:sz w:val="23"/>
        <w:szCs w:val="23"/>
      </w:rPr>
    </w:lvl>
    <w:lvl w:ilvl="1">
      <w:start w:val="0"/>
      <w:numFmt w:val="bullet"/>
      <w:lvlText w:val="•"/>
      <w:lvlJc w:val="left"/>
      <w:pPr>
        <w:ind w:left="1212" w:hanging="328.9999999999999"/>
      </w:pPr>
      <w:rPr/>
    </w:lvl>
    <w:lvl w:ilvl="2">
      <w:start w:val="0"/>
      <w:numFmt w:val="bullet"/>
      <w:lvlText w:val="•"/>
      <w:lvlJc w:val="left"/>
      <w:pPr>
        <w:ind w:left="2205" w:hanging="329"/>
      </w:pPr>
      <w:rPr/>
    </w:lvl>
    <w:lvl w:ilvl="3">
      <w:start w:val="0"/>
      <w:numFmt w:val="bullet"/>
      <w:lvlText w:val="•"/>
      <w:lvlJc w:val="left"/>
      <w:pPr>
        <w:ind w:left="3197" w:hanging="329"/>
      </w:pPr>
      <w:rPr/>
    </w:lvl>
    <w:lvl w:ilvl="4">
      <w:start w:val="0"/>
      <w:numFmt w:val="bullet"/>
      <w:lvlText w:val="•"/>
      <w:lvlJc w:val="left"/>
      <w:pPr>
        <w:ind w:left="4190" w:hanging="329"/>
      </w:pPr>
      <w:rPr/>
    </w:lvl>
    <w:lvl w:ilvl="5">
      <w:start w:val="0"/>
      <w:numFmt w:val="bullet"/>
      <w:lvlText w:val="•"/>
      <w:lvlJc w:val="left"/>
      <w:pPr>
        <w:ind w:left="5183" w:hanging="329"/>
      </w:pPr>
      <w:rPr/>
    </w:lvl>
    <w:lvl w:ilvl="6">
      <w:start w:val="0"/>
      <w:numFmt w:val="bullet"/>
      <w:lvlText w:val="•"/>
      <w:lvlJc w:val="left"/>
      <w:pPr>
        <w:ind w:left="6175" w:hanging="329"/>
      </w:pPr>
      <w:rPr/>
    </w:lvl>
    <w:lvl w:ilvl="7">
      <w:start w:val="0"/>
      <w:numFmt w:val="bullet"/>
      <w:lvlText w:val="•"/>
      <w:lvlJc w:val="left"/>
      <w:pPr>
        <w:ind w:left="7168" w:hanging="329"/>
      </w:pPr>
      <w:rPr/>
    </w:lvl>
    <w:lvl w:ilvl="8">
      <w:start w:val="0"/>
      <w:numFmt w:val="bullet"/>
      <w:lvlText w:val="•"/>
      <w:lvlJc w:val="left"/>
      <w:pPr>
        <w:ind w:left="8161" w:hanging="329"/>
      </w:pPr>
      <w:rPr/>
    </w:lvl>
  </w:abstractNum>
  <w:abstractNum w:abstractNumId="3">
    <w:lvl w:ilvl="0">
      <w:start w:val="7"/>
      <w:numFmt w:val="decimal"/>
      <w:lvlText w:val="%1"/>
      <w:lvlJc w:val="left"/>
      <w:pPr>
        <w:ind w:left="570" w:hanging="570"/>
      </w:pPr>
      <w:rPr>
        <w:b w:val="1"/>
        <w:color w:val="000000"/>
      </w:rPr>
    </w:lvl>
    <w:lvl w:ilvl="1">
      <w:start w:val="1"/>
      <w:numFmt w:val="decimal"/>
      <w:lvlText w:val="%1.%2"/>
      <w:lvlJc w:val="left"/>
      <w:pPr>
        <w:ind w:left="570" w:hanging="570"/>
      </w:pPr>
      <w:rPr>
        <w:b w:val="1"/>
        <w:color w:val="000000"/>
      </w:rPr>
    </w:lvl>
    <w:lvl w:ilvl="2">
      <w:start w:val="1"/>
      <w:numFmt w:val="decimal"/>
      <w:lvlText w:val="%1.%2.%3"/>
      <w:lvlJc w:val="left"/>
      <w:pPr>
        <w:ind w:left="720" w:hanging="720"/>
      </w:pPr>
      <w:rPr>
        <w:b w:val="1"/>
        <w:color w:val="000000"/>
      </w:rPr>
    </w:lvl>
    <w:lvl w:ilvl="3">
      <w:start w:val="1"/>
      <w:numFmt w:val="decimal"/>
      <w:lvlText w:val="%1.%2.%3.%4"/>
      <w:lvlJc w:val="left"/>
      <w:pPr>
        <w:ind w:left="1080" w:hanging="1080"/>
      </w:pPr>
      <w:rPr>
        <w:b w:val="1"/>
        <w:color w:val="000000"/>
      </w:rPr>
    </w:lvl>
    <w:lvl w:ilvl="4">
      <w:start w:val="1"/>
      <w:numFmt w:val="decimal"/>
      <w:lvlText w:val="%1.%2.%3.%4.%5"/>
      <w:lvlJc w:val="left"/>
      <w:pPr>
        <w:ind w:left="1080" w:hanging="1080"/>
      </w:pPr>
      <w:rPr>
        <w:b w:val="1"/>
        <w:color w:val="000000"/>
      </w:rPr>
    </w:lvl>
    <w:lvl w:ilvl="5">
      <w:start w:val="1"/>
      <w:numFmt w:val="decimal"/>
      <w:lvlText w:val="%1.%2.%3.%4.%5.%6"/>
      <w:lvlJc w:val="left"/>
      <w:pPr>
        <w:ind w:left="1440" w:hanging="1440"/>
      </w:pPr>
      <w:rPr>
        <w:b w:val="1"/>
        <w:color w:val="000000"/>
      </w:rPr>
    </w:lvl>
    <w:lvl w:ilvl="6">
      <w:start w:val="1"/>
      <w:numFmt w:val="decimal"/>
      <w:lvlText w:val="%1.%2.%3.%4.%5.%6.%7"/>
      <w:lvlJc w:val="left"/>
      <w:pPr>
        <w:ind w:left="1440" w:hanging="1440"/>
      </w:pPr>
      <w:rPr>
        <w:b w:val="1"/>
        <w:color w:val="000000"/>
      </w:rPr>
    </w:lvl>
    <w:lvl w:ilvl="7">
      <w:start w:val="1"/>
      <w:numFmt w:val="decimal"/>
      <w:lvlText w:val="%1.%2.%3.%4.%5.%6.%7.%8"/>
      <w:lvlJc w:val="left"/>
      <w:pPr>
        <w:ind w:left="1800" w:hanging="1800"/>
      </w:pPr>
      <w:rPr>
        <w:b w:val="1"/>
        <w:color w:val="000000"/>
      </w:rPr>
    </w:lvl>
    <w:lvl w:ilvl="8">
      <w:start w:val="1"/>
      <w:numFmt w:val="decimal"/>
      <w:lvlText w:val="%1.%2.%3.%4.%5.%6.%7.%8.%9"/>
      <w:lvlJc w:val="left"/>
      <w:pPr>
        <w:ind w:left="1800" w:hanging="1800"/>
      </w:pPr>
      <w:rPr>
        <w:b w:val="1"/>
        <w:color w:val="000000"/>
      </w:rPr>
    </w:lvl>
  </w:abstractNum>
  <w:abstractNum w:abstractNumId="4">
    <w:lvl w:ilvl="0">
      <w:start w:val="1"/>
      <w:numFmt w:val="bullet"/>
      <w:lvlText w:val="⮚"/>
      <w:lvlJc w:val="left"/>
      <w:pPr>
        <w:ind w:left="2136" w:hanging="360"/>
      </w:pPr>
      <w:rPr>
        <w:rFonts w:ascii="Noto Sans Symbols" w:cs="Noto Sans Symbols" w:eastAsia="Noto Sans Symbols" w:hAnsi="Noto Sans Symbols"/>
      </w:rPr>
    </w:lvl>
    <w:lvl w:ilvl="1">
      <w:start w:val="1"/>
      <w:numFmt w:val="bullet"/>
      <w:lvlText w:val="o"/>
      <w:lvlJc w:val="left"/>
      <w:pPr>
        <w:ind w:left="2856" w:hanging="360"/>
      </w:pPr>
      <w:rPr>
        <w:rFonts w:ascii="Courier New" w:cs="Courier New" w:eastAsia="Courier New" w:hAnsi="Courier New"/>
      </w:rPr>
    </w:lvl>
    <w:lvl w:ilvl="2">
      <w:start w:val="1"/>
      <w:numFmt w:val="bullet"/>
      <w:lvlText w:val="▪"/>
      <w:lvlJc w:val="left"/>
      <w:pPr>
        <w:ind w:left="3576" w:hanging="360"/>
      </w:pPr>
      <w:rPr>
        <w:rFonts w:ascii="Noto Sans Symbols" w:cs="Noto Sans Symbols" w:eastAsia="Noto Sans Symbols" w:hAnsi="Noto Sans Symbols"/>
      </w:rPr>
    </w:lvl>
    <w:lvl w:ilvl="3">
      <w:start w:val="1"/>
      <w:numFmt w:val="bullet"/>
      <w:lvlText w:val="●"/>
      <w:lvlJc w:val="left"/>
      <w:pPr>
        <w:ind w:left="4296" w:hanging="360"/>
      </w:pPr>
      <w:rPr>
        <w:rFonts w:ascii="Noto Sans Symbols" w:cs="Noto Sans Symbols" w:eastAsia="Noto Sans Symbols" w:hAnsi="Noto Sans Symbols"/>
      </w:rPr>
    </w:lvl>
    <w:lvl w:ilvl="4">
      <w:start w:val="1"/>
      <w:numFmt w:val="bullet"/>
      <w:lvlText w:val="o"/>
      <w:lvlJc w:val="left"/>
      <w:pPr>
        <w:ind w:left="5016" w:hanging="360"/>
      </w:pPr>
      <w:rPr>
        <w:rFonts w:ascii="Courier New" w:cs="Courier New" w:eastAsia="Courier New" w:hAnsi="Courier New"/>
      </w:rPr>
    </w:lvl>
    <w:lvl w:ilvl="5">
      <w:start w:val="1"/>
      <w:numFmt w:val="bullet"/>
      <w:lvlText w:val="▪"/>
      <w:lvlJc w:val="left"/>
      <w:pPr>
        <w:ind w:left="5736" w:hanging="360"/>
      </w:pPr>
      <w:rPr>
        <w:rFonts w:ascii="Noto Sans Symbols" w:cs="Noto Sans Symbols" w:eastAsia="Noto Sans Symbols" w:hAnsi="Noto Sans Symbols"/>
      </w:rPr>
    </w:lvl>
    <w:lvl w:ilvl="6">
      <w:start w:val="1"/>
      <w:numFmt w:val="bullet"/>
      <w:lvlText w:val="●"/>
      <w:lvlJc w:val="left"/>
      <w:pPr>
        <w:ind w:left="6456" w:hanging="360"/>
      </w:pPr>
      <w:rPr>
        <w:rFonts w:ascii="Noto Sans Symbols" w:cs="Noto Sans Symbols" w:eastAsia="Noto Sans Symbols" w:hAnsi="Noto Sans Symbols"/>
      </w:rPr>
    </w:lvl>
    <w:lvl w:ilvl="7">
      <w:start w:val="1"/>
      <w:numFmt w:val="bullet"/>
      <w:lvlText w:val="o"/>
      <w:lvlJc w:val="left"/>
      <w:pPr>
        <w:ind w:left="7176" w:hanging="360"/>
      </w:pPr>
      <w:rPr>
        <w:rFonts w:ascii="Courier New" w:cs="Courier New" w:eastAsia="Courier New" w:hAnsi="Courier New"/>
      </w:rPr>
    </w:lvl>
    <w:lvl w:ilvl="8">
      <w:start w:val="1"/>
      <w:numFmt w:val="bullet"/>
      <w:lvlText w:val="▪"/>
      <w:lvlJc w:val="left"/>
      <w:pPr>
        <w:ind w:left="7896" w:hanging="360"/>
      </w:pPr>
      <w:rPr>
        <w:rFonts w:ascii="Noto Sans Symbols" w:cs="Noto Sans Symbols" w:eastAsia="Noto Sans Symbols" w:hAnsi="Noto Sans Symbols"/>
      </w:rPr>
    </w:lvl>
  </w:abstractNum>
  <w:abstractNum w:abstractNumId="5">
    <w:lvl w:ilvl="0">
      <w:start w:val="1"/>
      <w:numFmt w:val="decimal"/>
      <w:lvlText w:val="%1."/>
      <w:lvlJc w:val="left"/>
      <w:pPr>
        <w:ind w:left="750" w:hanging="390"/>
      </w:pPr>
      <w:rPr>
        <w:b w:val="1"/>
        <w:i w:val="0"/>
      </w:rPr>
    </w:lvl>
    <w:lvl w:ilvl="1">
      <w:start w:val="1"/>
      <w:numFmt w:val="lowerLetter"/>
      <w:lvlText w:val="%2."/>
      <w:lvlJc w:val="left"/>
      <w:pPr>
        <w:ind w:left="1440" w:hanging="360"/>
      </w:pPr>
      <w:rPr/>
    </w:lvl>
    <w:lvl w:ilvl="2">
      <w:start w:val="1"/>
      <w:numFmt w:val="bullet"/>
      <w:lvlText w:val="●"/>
      <w:lvlJc w:val="left"/>
      <w:pPr>
        <w:ind w:left="2160" w:hanging="18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3"/>
      <w:numFmt w:val="decimal"/>
      <w:lvlText w:val="%1."/>
      <w:lvlJc w:val="left"/>
      <w:pPr>
        <w:ind w:left="360" w:hanging="360"/>
      </w:pPr>
      <w:rPr>
        <w:b w:val="1"/>
      </w:rPr>
    </w:lvl>
    <w:lvl w:ilvl="1">
      <w:start w:val="2"/>
      <w:numFmt w:val="decimal"/>
      <w:lvlText w:val="%1.%2."/>
      <w:lvlJc w:val="left"/>
      <w:pPr>
        <w:ind w:left="720" w:hanging="720"/>
      </w:pPr>
      <w:rPr>
        <w:b w:val="1"/>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1800" w:hanging="1800"/>
      </w:pPr>
      <w:rPr>
        <w:b w:val="1"/>
      </w:rPr>
    </w:lvl>
  </w:abstractNum>
  <w:abstractNum w:abstractNumId="7">
    <w:lvl w:ilvl="0">
      <w:start w:val="3"/>
      <w:numFmt w:val="decimal"/>
      <w:lvlText w:val="%1."/>
      <w:lvlJc w:val="left"/>
      <w:pPr>
        <w:ind w:left="540" w:hanging="540"/>
      </w:pPr>
      <w:rPr/>
    </w:lvl>
    <w:lvl w:ilvl="1">
      <w:start w:val="4"/>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8">
    <w:lvl w:ilvl="0">
      <w:start w:val="3"/>
      <w:numFmt w:val="decimal"/>
      <w:lvlText w:val="%1."/>
      <w:lvlJc w:val="left"/>
      <w:pPr>
        <w:ind w:left="480" w:hanging="480"/>
      </w:pPr>
      <w:rPr/>
    </w:lvl>
    <w:lvl w:ilvl="1">
      <w:start w:val="12"/>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9">
    <w:lvl w:ilvl="0">
      <w:start w:val="3"/>
      <w:numFmt w:val="decimal"/>
      <w:lvlText w:val="%1."/>
      <w:lvlJc w:val="left"/>
      <w:pPr>
        <w:ind w:left="660" w:hanging="660"/>
      </w:pPr>
      <w:rPr/>
    </w:lvl>
    <w:lvl w:ilvl="1">
      <w:start w:val="17"/>
      <w:numFmt w:val="decimal"/>
      <w:lvlText w:val="%1.%2."/>
      <w:lvlJc w:val="left"/>
      <w:pPr>
        <w:ind w:left="720" w:hanging="720"/>
      </w:pPr>
      <w:rPr/>
    </w:lvl>
    <w:lvl w:ilvl="2">
      <w:start w:val="2"/>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0">
    <w:lvl w:ilvl="0">
      <w:start w:val="3"/>
      <w:numFmt w:val="decimal"/>
      <w:lvlText w:val="%1."/>
      <w:lvlJc w:val="left"/>
      <w:pPr>
        <w:ind w:left="660" w:hanging="660"/>
      </w:pPr>
      <w:rPr/>
    </w:lvl>
    <w:lvl w:ilvl="1">
      <w:start w:val="18"/>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1">
    <w:lvl w:ilvl="0">
      <w:start w:val="1"/>
      <w:numFmt w:val="lowerLetter"/>
      <w:lvlText w:val="%1)"/>
      <w:lvlJc w:val="left"/>
      <w:pPr>
        <w:ind w:left="360" w:hanging="360"/>
      </w:pPr>
      <w:rPr>
        <w:b w:val="1"/>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B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05691C"/>
    <w:pPr>
      <w:tabs>
        <w:tab w:val="center" w:pos="4252"/>
        <w:tab w:val="right" w:pos="8504"/>
      </w:tabs>
    </w:pPr>
  </w:style>
  <w:style w:type="character" w:styleId="CabealhoChar" w:customStyle="1">
    <w:name w:val="Cabeçalho Char"/>
    <w:basedOn w:val="Fontepargpadro"/>
    <w:link w:val="Cabealho"/>
    <w:uiPriority w:val="99"/>
    <w:rsid w:val="0005691C"/>
  </w:style>
  <w:style w:type="paragraph" w:styleId="Rodap">
    <w:name w:val="footer"/>
    <w:basedOn w:val="Normal"/>
    <w:link w:val="RodapChar"/>
    <w:uiPriority w:val="99"/>
    <w:unhideWhenUsed w:val="1"/>
    <w:rsid w:val="0005691C"/>
    <w:pPr>
      <w:tabs>
        <w:tab w:val="center" w:pos="4252"/>
        <w:tab w:val="right" w:pos="8504"/>
      </w:tabs>
    </w:pPr>
  </w:style>
  <w:style w:type="character" w:styleId="RodapChar" w:customStyle="1">
    <w:name w:val="Rodapé Char"/>
    <w:basedOn w:val="Fontepargpadro"/>
    <w:link w:val="Rodap"/>
    <w:uiPriority w:val="99"/>
    <w:rsid w:val="0005691C"/>
  </w:style>
  <w:style w:type="character" w:styleId="TtulodoLivro">
    <w:name w:val="Book Title"/>
    <w:basedOn w:val="Fontepargpadro"/>
    <w:uiPriority w:val="33"/>
    <w:qFormat w:val="1"/>
    <w:rsid w:val="0005691C"/>
    <w:rPr>
      <w:b w:val="1"/>
      <w:bCs w:val="1"/>
      <w:i w:val="1"/>
      <w:iCs w:val="1"/>
      <w:spacing w:val="5"/>
    </w:rPr>
  </w:style>
  <w:style w:type="character" w:styleId="RefernciaIntensa">
    <w:name w:val="Intense Reference"/>
    <w:basedOn w:val="Fontepargpadro"/>
    <w:uiPriority w:val="32"/>
    <w:qFormat w:val="1"/>
    <w:rsid w:val="0005691C"/>
    <w:rPr>
      <w:b w:val="1"/>
      <w:bCs w:val="1"/>
      <w:smallCaps w:val="1"/>
      <w:color w:val="4472c4" w:themeColor="accent1"/>
      <w:spacing w:val="5"/>
    </w:rPr>
  </w:style>
  <w:style w:type="character" w:styleId="RefernciaSutil">
    <w:name w:val="Subtle Reference"/>
    <w:basedOn w:val="Fontepargpadro"/>
    <w:uiPriority w:val="31"/>
    <w:qFormat w:val="1"/>
    <w:rsid w:val="0005691C"/>
    <w:rPr>
      <w:smallCaps w:val="1"/>
      <w:color w:val="5a5a5a" w:themeColor="text1" w:themeTint="0000A5"/>
    </w:rPr>
  </w:style>
  <w:style w:type="paragraph" w:styleId="PargrafodaLista">
    <w:name w:val="List Paragraph"/>
    <w:basedOn w:val="Normal"/>
    <w:uiPriority w:val="34"/>
    <w:qFormat w:val="1"/>
    <w:rsid w:val="0005691C"/>
    <w:pPr>
      <w:ind w:left="720"/>
      <w:contextualSpacing w:val="1"/>
    </w:pPr>
  </w:style>
  <w:style w:type="character" w:styleId="nfase">
    <w:name w:val="Emphasis"/>
    <w:basedOn w:val="Fontepargpadro"/>
    <w:uiPriority w:val="20"/>
    <w:qFormat w:val="1"/>
    <w:rsid w:val="0005691C"/>
    <w:rPr>
      <w:i w:val="1"/>
      <w:iCs w:val="1"/>
    </w:rPr>
  </w:style>
  <w:style w:type="character" w:styleId="nfaseIntensa">
    <w:name w:val="Intense Emphasis"/>
    <w:basedOn w:val="Fontepargpadro"/>
    <w:uiPriority w:val="21"/>
    <w:qFormat w:val="1"/>
    <w:rsid w:val="0005691C"/>
    <w:rPr>
      <w:i w:val="1"/>
      <w:iCs w:val="1"/>
      <w:color w:val="4472c4" w:themeColor="accent1"/>
    </w:rPr>
  </w:style>
  <w:style w:type="character" w:styleId="nfaseSutil">
    <w:name w:val="Subtle Emphasis"/>
    <w:basedOn w:val="Fontepargpadro"/>
    <w:uiPriority w:val="19"/>
    <w:qFormat w:val="1"/>
    <w:rsid w:val="0005691C"/>
    <w:rPr>
      <w:i w:val="1"/>
      <w:iCs w:val="1"/>
      <w:color w:val="404040" w:themeColor="text1" w:themeTint="0000BF"/>
    </w:rPr>
  </w:style>
  <w:style w:type="character" w:styleId="SubttuloChar" w:customStyle="1">
    <w:name w:val="Subtítulo Char"/>
    <w:basedOn w:val="Fontepargpadro"/>
    <w:link w:val="Subttulo"/>
    <w:uiPriority w:val="11"/>
    <w:rsid w:val="0005691C"/>
    <w:rPr>
      <w:rFonts w:eastAsiaTheme="minorEastAsia"/>
      <w:color w:val="5a5a5a" w:themeColor="text1" w:themeTint="0000A5"/>
      <w:spacing w:val="15"/>
      <w:sz w:val="22"/>
      <w:szCs w:val="22"/>
    </w:rPr>
  </w:style>
  <w:style w:type="character" w:styleId="Forte">
    <w:name w:val="Strong"/>
    <w:basedOn w:val="Fontepargpadro"/>
    <w:uiPriority w:val="22"/>
    <w:qFormat w:val="1"/>
    <w:rsid w:val="0005691C"/>
    <w:rPr>
      <w:b w:val="1"/>
      <w:bCs w:val="1"/>
    </w:rPr>
  </w:style>
  <w:style w:type="character" w:styleId="Hyperlink">
    <w:name w:val="Hyperlink"/>
    <w:basedOn w:val="Fontepargpadro"/>
    <w:uiPriority w:val="99"/>
    <w:unhideWhenUsed w:val="1"/>
    <w:rsid w:val="00C4231E"/>
    <w:rPr>
      <w:color w:val="0563c1" w:themeColor="hyperlink"/>
      <w:u w:val="single"/>
    </w:rPr>
  </w:style>
  <w:style w:type="character" w:styleId="MenoPendente">
    <w:name w:val="Unresolved Mention"/>
    <w:basedOn w:val="Fontepargpadro"/>
    <w:uiPriority w:val="99"/>
    <w:semiHidden w:val="1"/>
    <w:unhideWhenUsed w:val="1"/>
    <w:rsid w:val="00C4231E"/>
    <w:rPr>
      <w:color w:val="605e5c"/>
      <w:shd w:color="auto" w:fill="e1dfdd" w:val="clear"/>
    </w:rPr>
  </w:style>
  <w:style w:type="paragraph" w:styleId="NormalWeb">
    <w:name w:val="Normal (Web)"/>
    <w:aliases w:val="Normal (Web) Char"/>
    <w:basedOn w:val="Normal"/>
    <w:unhideWhenUsed w:val="1"/>
    <w:qFormat w:val="1"/>
    <w:rsid w:val="00497EA8"/>
    <w:pPr>
      <w:spacing w:after="100" w:afterAutospacing="1" w:before="100" w:beforeAutospacing="1"/>
    </w:pPr>
    <w:rPr>
      <w:rFonts w:ascii="Times New Roman" w:cs="Times New Roman" w:eastAsia="Times New Roman" w:hAnsi="Times New Roman"/>
    </w:rPr>
  </w:style>
  <w:style w:type="table" w:styleId="Tabelacomgrade">
    <w:name w:val="Table Grid"/>
    <w:basedOn w:val="Tabelanormal"/>
    <w:uiPriority w:val="39"/>
    <w:rsid w:val="00497EA8"/>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3"/>
    <w:rPr>
      <w:sz w:val="22"/>
      <w:szCs w:val="22"/>
    </w:rPr>
    <w:tblPr>
      <w:tblStyleRowBandSize w:val="1"/>
      <w:tblStyleColBandSize w:val="1"/>
      <w:tblCellMar>
        <w:left w:w="108.0" w:type="dxa"/>
        <w:right w:w="108.0" w:type="dxa"/>
      </w:tblCellMar>
    </w:tblPr>
  </w:style>
  <w:style w:type="table" w:styleId="a0" w:customStyle="1">
    <w:basedOn w:val="TableNormal3"/>
    <w:rPr>
      <w:sz w:val="22"/>
      <w:szCs w:val="22"/>
    </w:rPr>
    <w:tblPr>
      <w:tblStyleRowBandSize w:val="1"/>
      <w:tblStyleColBandSize w:val="1"/>
      <w:tblCellMar>
        <w:left w:w="108.0" w:type="dxa"/>
        <w:right w:w="108.0" w:type="dxa"/>
      </w:tblCellMar>
    </w:tblPr>
  </w:style>
  <w:style w:type="table" w:styleId="a1" w:customStyle="1">
    <w:basedOn w:val="TableNormal3"/>
    <w:rPr>
      <w:sz w:val="22"/>
      <w:szCs w:val="22"/>
    </w:rPr>
    <w:tblPr>
      <w:tblStyleRowBandSize w:val="1"/>
      <w:tblStyleColBandSize w:val="1"/>
      <w:tblCellMar>
        <w:left w:w="108.0" w:type="dxa"/>
        <w:right w:w="108.0" w:type="dxa"/>
      </w:tblCellMar>
    </w:tblPr>
  </w:style>
  <w:style w:type="table" w:styleId="a2" w:customStyle="1">
    <w:basedOn w:val="TableNormal3"/>
    <w:rPr>
      <w:sz w:val="22"/>
      <w:szCs w:val="22"/>
    </w:rPr>
    <w:tblPr>
      <w:tblStyleRowBandSize w:val="1"/>
      <w:tblStyleColBandSize w:val="1"/>
      <w:tblCellMar>
        <w:left w:w="108.0" w:type="dxa"/>
        <w:right w:w="108.0" w:type="dxa"/>
      </w:tblCellMar>
    </w:tblPr>
  </w:style>
  <w:style w:type="table" w:styleId="a3" w:customStyle="1">
    <w:basedOn w:val="TableNormal0"/>
    <w:rPr>
      <w:sz w:val="22"/>
      <w:szCs w:val="22"/>
    </w:rPr>
    <w:tblPr>
      <w:tblStyleRowBandSize w:val="1"/>
      <w:tblStyleColBandSize w:val="1"/>
      <w:tblCellMar>
        <w:left w:w="108.0" w:type="dxa"/>
        <w:right w:w="108.0" w:type="dxa"/>
      </w:tblCellMar>
    </w:tblPr>
  </w:style>
  <w:style w:type="character" w:styleId="jsgrdq" w:customStyle="1">
    <w:name w:val="jsgrdq"/>
    <w:basedOn w:val="Fontepargpadro"/>
    <w:rsid w:val="007C0D69"/>
  </w:style>
  <w:style w:type="paragraph" w:styleId="dou-paragraph" w:customStyle="1">
    <w:name w:val="dou-paragraph"/>
    <w:basedOn w:val="Normal"/>
    <w:uiPriority w:val="99"/>
    <w:semiHidden w:val="1"/>
    <w:rsid w:val="007C0D69"/>
    <w:pPr>
      <w:spacing w:after="100" w:afterAutospacing="1" w:before="100" w:beforeAutospacing="1"/>
    </w:pPr>
    <w:rPr>
      <w:rFonts w:ascii="Times New Roman" w:cs="Times New Roman" w:eastAsia="Times New Roman" w:hAnsi="Times New Roman"/>
      <w:sz w:val="20"/>
      <w:szCs w:val="20"/>
    </w:rPr>
  </w:style>
  <w:style w:type="paragraph" w:styleId="Corpodetexto2">
    <w:name w:val="Body Text 2"/>
    <w:basedOn w:val="Normal"/>
    <w:next w:val="Normal"/>
    <w:link w:val="Corpodetexto2Char"/>
    <w:uiPriority w:val="99"/>
    <w:unhideWhenUsed w:val="1"/>
    <w:qFormat w:val="1"/>
    <w:rsid w:val="007C0D69"/>
    <w:rPr>
      <w:rFonts w:ascii="Times New Roman" w:cs="Times New Roman" w:eastAsia="Times New Roman" w:hAnsi="Times New Roman"/>
      <w:color w:val="000000"/>
      <w:sz w:val="20"/>
      <w:szCs w:val="20"/>
      <w:lang w:eastAsia="en-US"/>
    </w:rPr>
  </w:style>
  <w:style w:type="character" w:styleId="Corpodetexto2Char" w:customStyle="1">
    <w:name w:val="Corpo de texto 2 Char"/>
    <w:basedOn w:val="Fontepargpadro"/>
    <w:link w:val="Corpodetexto2"/>
    <w:uiPriority w:val="99"/>
    <w:qFormat w:val="1"/>
    <w:rsid w:val="007C0D69"/>
    <w:rPr>
      <w:rFonts w:ascii="Times New Roman" w:cs="Times New Roman" w:eastAsia="Times New Roman" w:hAnsi="Times New Roman"/>
      <w:color w:val="000000"/>
      <w:sz w:val="20"/>
      <w:szCs w:val="20"/>
      <w:lang w:eastAsia="en-US"/>
    </w:rPr>
  </w:style>
  <w:style w:type="paragraph" w:styleId="Subtitle">
    <w:name w:val="Subtitle"/>
    <w:basedOn w:val="Normal"/>
    <w:next w:val="Normal"/>
    <w:pPr>
      <w:spacing w:after="160" w:lineRule="auto"/>
    </w:pPr>
    <w:rPr>
      <w:color w:val="5a5a5a"/>
      <w:sz w:val="22"/>
      <w:szCs w:val="22"/>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www.planalto.gov.br/ccivil_03/_ato2019-2022/2019/lei/L13874.htm" TargetMode="External"/><Relationship Id="rId10" Type="http://schemas.openxmlformats.org/officeDocument/2006/relationships/hyperlink" Target="http://www.planalto.gov.br/ccivil_03/_ato2019-2022/2020/decreto/D10278.htm" TargetMode="External"/><Relationship Id="rId21" Type="http://schemas.openxmlformats.org/officeDocument/2006/relationships/footer" Target="footer1.xml"/><Relationship Id="rId13" Type="http://schemas.openxmlformats.org/officeDocument/2006/relationships/hyperlink" Target="http://www.planalto.gov.br/ccivil_03/_Ato2019-2022/2019/Lei/L13874.htm#art10" TargetMode="External"/><Relationship Id="rId12" Type="http://schemas.openxmlformats.org/officeDocument/2006/relationships/hyperlink" Target="http://www.planalto.gov.br/ccivil_03/_ato2015-2018/2018/lei/L13709compilado.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analto.gov.br/ccivil_03/_ato2011-2014/2012/lei/l12682.htm" TargetMode="External"/><Relationship Id="rId15" Type="http://schemas.openxmlformats.org/officeDocument/2006/relationships/hyperlink" Target="http://www.planalto.gov.br/ccivil_03/_ato2019-2022/2020/decreto/D10278.htm" TargetMode="External"/><Relationship Id="rId14" Type="http://schemas.openxmlformats.org/officeDocument/2006/relationships/hyperlink" Target="http://www.planalto.gov.br/ccivil_03/_Ato2019-2022/2020/Decreto/D10278.htm" TargetMode="External"/><Relationship Id="rId17" Type="http://schemas.openxmlformats.org/officeDocument/2006/relationships/hyperlink" Target="http://www.planalto.gov.br/ccivil_03/_Ato2011-2014/2012/Lei/L12682.htm#art2a." TargetMode="External"/><Relationship Id="rId16" Type="http://schemas.openxmlformats.org/officeDocument/2006/relationships/hyperlink" Target="http://www.planalto.gov.br/ccivil_03/_ato2019-2022/2019/Lei/L13874.htm#art3x" TargetMode="External"/><Relationship Id="rId5" Type="http://schemas.openxmlformats.org/officeDocument/2006/relationships/styles" Target="styles.xml"/><Relationship Id="rId19" Type="http://schemas.openxmlformats.org/officeDocument/2006/relationships/image" Target="media/image2.png"/><Relationship Id="rId6" Type="http://schemas.openxmlformats.org/officeDocument/2006/relationships/customXml" Target="../customXML/item1.xml"/><Relationship Id="rId18" Type="http://schemas.openxmlformats.org/officeDocument/2006/relationships/image" Target="media/image3.jpg"/><Relationship Id="rId7" Type="http://schemas.openxmlformats.org/officeDocument/2006/relationships/hyperlink" Target="http://legislacao.planalto.gov.br/legisla/legislacao.nsf/Viw_Identificacao/lei%208.213-1991?OpenDocument" TargetMode="External"/><Relationship Id="rId8" Type="http://schemas.openxmlformats.org/officeDocument/2006/relationships/hyperlink" Target="http://legislacao.planalto.gov.br/legisla/legislacao.nsf/Viw_Identificacao/DEC%203.048-1999?OpenDocu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rQjGRBLjx6snF9YUs1ja4yndrQ==">CgMxLjAyDmguNW5jN2VxZXRqZ3FuMg5oLmF0eTlsY3l5bG9jZTIOaC40MW84ajljano2MXUyDmguczVyYzRrdjZtbGVyMg5oLjhpbGpyNnE5eGdnMDIOaC5rZm0yZ2lwbW5jNXUyDmguaHd4NzQ2NTYxNDhiMgxoLmM2ZnNqMzByNzk4AHIhMXd1cEhEU2dnLWlGZ2VielRZdEF6Y3ZEaENQdFkyaHBj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2023-10-03T15:02:00Z</dcterms:created>
  <dc:creator>Microsoft Office User</dc:creator>
</cp:coreProperties>
</file>